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综合楼一层视频会议室LED显示屏技术参数要求</w:t>
      </w:r>
    </w:p>
    <w:tbl>
      <w:tblPr>
        <w:jc w:val="left"/>
        <w:tblInd w:w="93" w:type="dxa"/>
        <w:tblW w:w="8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4234"/>
        <w:gridCol w:w="1750"/>
      </w:tblGrid>
      <w:tr>
        <w:trPr>
          <w:trHeight w:val="915"/>
        </w:trPr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  <w:szCs w:val="24"/>
              </w:rPr>
              <w:t>技术指标</w:t>
            </w:r>
          </w:p>
        </w:tc>
        <w:tc>
          <w:tcPr>
            <w:tcW w:w="1750" w:type="dxa"/>
          </w:tcPr>
          <w:p>
            <w:pPr>
              <w:widowControl/>
              <w:jc w:val="center"/>
              <w:rPr>
                <w:rFonts w:ascii="黑体" w:eastAsia="黑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黑体" w:eastAsia="黑体" w:cs="宋体"/>
                <w:kern w:val="0"/>
                <w:sz w:val="24"/>
                <w:szCs w:val="24"/>
              </w:rPr>
            </w:pPr>
            <w:r>
              <w:rPr>
                <w:rFonts w:ascii="黑体" w:eastAsia="黑体" w:cs="宋体" w:hint="eastAsia"/>
                <w:kern w:val="0"/>
                <w:sz w:val="24"/>
                <w:szCs w:val="24"/>
              </w:rPr>
              <w:t>数量</w:t>
            </w:r>
          </w:p>
        </w:tc>
      </w:tr>
      <w:tr>
        <w:trPr>
          <w:trHeight w:val="739"/>
        </w:trPr>
        <w:tc>
          <w:tcPr>
            <w:tcW w:w="2160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LED大屏及灯要求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物理像素间距≤1.25mm ,像素密度: 像素密度≥640000点/㎡；</w:t>
            </w:r>
          </w:p>
        </w:tc>
        <w:tc>
          <w:tcPr>
            <w:tcW w:w="1750" w:type="dxa"/>
            <w:vMerge w:val="restart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39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像素组成：每个像素点内采用1红1绿1蓝，共3颗LED发光二极管，封装方式表贴三合一；</w:t>
            </w:r>
          </w:p>
        </w:tc>
        <w:tc>
          <w:tcPr>
            <w:tcW w:w="1750" w:type="dxa"/>
            <w:vMerge/>
          </w:tcPr>
          <w:p/>
        </w:tc>
      </w:tr>
      <w:tr>
        <w:trPr>
          <w:trHeight w:val="739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LED灯封装尺寸：≤0.8mm×0.8mm；灯表面磨砂工艺处理，降低屏幕反光率；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39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cs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kern w:val="0"/>
                <w:sz w:val="24"/>
                <w:szCs w:val="24"/>
              </w:rPr>
              <w:t xml:space="preserve">4. </w:t>
            </w:r>
            <w:r>
              <w:rPr>
                <w:rFonts w:ascii="宋体" w:cs="宋体" w:hint="eastAsia"/>
                <w:kern w:val="0"/>
                <w:sz w:val="24"/>
                <w:szCs w:val="24"/>
                <w:bdr w:val="none" w:sz="0" w:space="0" w:color="auto"/>
              </w:rPr>
              <w:t>LED灯必须由原</w:t>
            </w:r>
            <w:r>
              <w:rPr>
                <w:rFonts w:ascii="宋体" w:cs="Times New Roman" w:hint="eastAsia"/>
                <w:kern w:val="0"/>
                <w:sz w:val="24"/>
                <w:szCs w:val="24"/>
              </w:rPr>
              <w:t>厂封装。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Times New Roman" w:cs="Times New Roman" w:hAnsi="Times New Roman"/>
                <w:kern w:val="0"/>
                <w:sz w:val="24"/>
                <w:szCs w:val="24"/>
              </w:rPr>
            </w:pPr>
          </w:p>
        </w:tc>
      </w:tr>
      <w:tr>
        <w:trPr>
          <w:trHeight w:val="2802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具备温度异常、烟雾的监测和报警；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6.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维护快速简便，高清显示模块均可以独立进行更换，不影响整个屏幕的使用；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7.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使用方便、操作灵活，能够按照端口数量清晰显示各类输入信息；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8.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能够全屏按2880*1620分辨率显示单一全屏信息；</w:t>
              <w:br/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9.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屏幕显示系统能够接入DVI、Video、VGA、SDI 、HDMI等设备；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10.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高清显示大屏幕系统包括：LED显示屏、传输系统、控制系统硬件和软件、配电系统。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672"/>
        </w:trPr>
        <w:tc>
          <w:tcPr>
            <w:tcW w:w="2160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屏幕参数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11.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屏体尺寸：单块面积3.6m*2.025m，数量:2块，面积误差：设计显示尺寸长宽均不得小于规定尺寸,正偏差范围：0至5%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14.58平米</w:t>
            </w:r>
          </w:p>
        </w:tc>
      </w:tr>
      <w:tr>
        <w:trPr>
          <w:trHeight w:val="75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12.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箱体要求：采用密封式一体化铝合金压铸箱体，安装要求为箱体拼装，并且带后盖，表面平整无明显缝隙；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75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13.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整屏平整度≤0.2mm；</w:t>
            </w:r>
          </w:p>
        </w:tc>
        <w:tc>
          <w:tcPr>
            <w:tcW w:w="1750" w:type="dxa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964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14.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均匀性：整屏亮度均匀性≥98%，具有单点校正功能；</w:t>
            </w:r>
          </w:p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15.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整屏色度均匀性±0.003Cx，Cy之内，具有单点色度校正功能；</w:t>
            </w:r>
          </w:p>
        </w:tc>
        <w:tc>
          <w:tcPr>
            <w:tcW w:w="1750" w:type="dxa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09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16.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最佳视角：水平视角≥160度；垂直视角≥140度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09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17.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环境温度：存贮 -20℃ ～ +50℃；工作 -20℃ ～ +50℃；相对湿度10%～90%RH；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7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18.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屏幕白平衡亮度≥600cd/m²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7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19.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色温：3200K-9300K（可调）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7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20.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刷新频率≥3000Hz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288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21.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换帧频率≥60帧/秒</w:t>
            </w:r>
          </w:p>
        </w:tc>
        <w:tc>
          <w:tcPr>
            <w:tcW w:w="1750" w:type="dxa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639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22.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驱动电源：LED专用驱动电源，要求带PFC功能、静音、无风扇。</w:t>
            </w:r>
          </w:p>
        </w:tc>
        <w:tc>
          <w:tcPr>
            <w:tcW w:w="1750" w:type="dxa"/>
          </w:tcPr>
          <w:p>
            <w:pPr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7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23.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灰度等级：16bit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7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24.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对比度：≥5000:1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7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25. </w:t>
            </w: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结构：旋转支架，拼接后大屏整体可水平转角0—30度。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900"/>
        </w:trPr>
        <w:tc>
          <w:tcPr>
            <w:tcW w:w="2160" w:type="dxa"/>
            <w:gridSpan w:val="2"/>
            <w:vMerge/>
            <w:vAlign w:val="center"/>
          </w:tcPr>
          <w:p/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26.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图像调节：0-100%可调，具备对比度、色调、色饱和度、灰度校正系数、色彩范围、图像变倍、单模组亮度调节等。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1200"/>
        </w:trPr>
        <w:tc>
          <w:tcPr>
            <w:tcW w:w="1080" w:type="dxa"/>
            <w:vMerge w:val="restart"/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系统运行参数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驱动控制方式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27.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要求显示单元高度集成，显示单元内无线材连接；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28.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无外置LED显示屏控制器；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29.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无驱动板设计，驱动板功能设置在显示单元的灯板和控制板上；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30.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每个具有独立CPU控制模组，处理能力，可实现强大的灰度处理和刷新率；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接口要求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31.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显示单元上具有HDMI接口和电源接口。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参数显示要求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32.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显示单元上要求具有LCD屏幕，能显示温度、亮度范围和网络地址等信息；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散热要求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33.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要求显示单元内电源必须具有散热片，以利于散热。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静音要求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34.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要求使用超静音电源，无风扇。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连续工作时间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35.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7*24小时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LED使用寿命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36.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在工作亮度≥500cd/m²条件下≥100000小时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平均无故障时间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37.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≥8000小时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整屏失控点数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38.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验收时为0，一年后＜1/10000无常失控点，且离散分布，连续失控点为零。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499"/>
        </w:trPr>
        <w:tc>
          <w:tcPr>
            <w:tcW w:w="1080" w:type="dxa"/>
            <w:vMerge w:val="restart"/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电气技术参数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平均功率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39.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≤160W/㎡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499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最大功率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40.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≤450W/㎡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649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温度控制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41.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具备自动散热循环、自动保护系统，屏体温度控制在30度～50度。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499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电气防护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42.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具备过流、短路、过压、欠压保护功能。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762"/>
        </w:trPr>
        <w:tc>
          <w:tcPr>
            <w:tcW w:w="1080" w:type="dxa"/>
            <w:vMerge/>
            <w:vAlign w:val="center"/>
          </w:tcPr>
          <w:p/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防护功能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43.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具备防潮、防尘、防腐、防静电、防雷击；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44.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系统具有烟雾报警和温升报警功能。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1520"/>
        </w:trPr>
        <w:tc>
          <w:tcPr>
            <w:tcW w:w="1080" w:type="dxa"/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产品资质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产品认证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  <w:szCs w:val="24"/>
              </w:rPr>
              <w:t>LED显示屏产品应取得以下认证：</w:t>
            </w:r>
          </w:p>
          <w:p>
            <w:pPr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  <w:szCs w:val="24"/>
              </w:rPr>
              <w:t>#具有国家广播电视产品质量监督检测中心出具的RoHS产品检验报告（要求与投标产品相同）。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1812"/>
        </w:trPr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视频拼接处理器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45.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输入接口：4路DVI接口，4路HD-SDI接口，4路CVBS接口，2路HDMI接口（4K）；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46.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输出接口：8路DVI输出， 每路输出应不得少于4个分屏，支持信号预监。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47.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系统的核心设备，前端连接信号源，后面连接LED屏幕和其他显示设备；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48.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要求实现会议室2套屏幕信号共享，统一控制。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1套</w:t>
            </w:r>
          </w:p>
        </w:tc>
      </w:tr>
      <w:tr>
        <w:trPr>
          <w:trHeight w:val="1782"/>
        </w:trPr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控制电脑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49.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CPU：≥4核；</w:t>
            </w:r>
          </w:p>
          <w:p>
            <w:pPr>
              <w:widowControl/>
              <w:jc w:val="left"/>
              <w:rPr>
                <w:rFonts w:asci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50.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CPU主频 ≥3.6GHz；</w:t>
            </w:r>
          </w:p>
          <w:p>
            <w:pPr>
              <w:widowControl/>
              <w:jc w:val="left"/>
              <w:rPr>
                <w:rFonts w:asci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51.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 xml:space="preserve">内存容量≥4GB； </w:t>
            </w:r>
          </w:p>
          <w:p>
            <w:pPr>
              <w:widowControl/>
              <w:jc w:val="left"/>
              <w:rPr>
                <w:rFonts w:asci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52.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 xml:space="preserve">硬盘容量≥1TB；     </w:t>
              <w:br/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53.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显卡类型 独立显卡，显存容量≥2GB，光驱类型 DVD刻录；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54.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 xml:space="preserve">显示设备类型 液晶；   </w:t>
              <w:br/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55.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显示设备尺寸≥24英寸；</w:t>
            </w:r>
          </w:p>
        </w:tc>
        <w:tc>
          <w:tcPr>
            <w:tcW w:w="1750" w:type="dxa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1套</w:t>
            </w:r>
          </w:p>
        </w:tc>
      </w:tr>
      <w:tr>
        <w:trPr>
          <w:trHeight w:val="1591"/>
        </w:trPr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 xml:space="preserve"> DVI光纤收发器</w:t>
            </w:r>
          </w:p>
        </w:tc>
        <w:tc>
          <w:tcPr>
            <w:tcW w:w="4234" w:type="dxa"/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56. 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四口LC 光纤接口，使用多模光纤，支持视频分辨率最高达1920x1200/60Hz 或1080p 的视频信号长距离和高分辨率图像传输，支持EDID 手动学习功能，可以显示发送端和接收端信号状态，单电源＋5V供电，金属外壳设计、低功耗，符合RoHS标准。</w:t>
            </w:r>
          </w:p>
        </w:tc>
        <w:tc>
          <w:tcPr>
            <w:tcW w:w="1750" w:type="dxa"/>
          </w:tcPr>
          <w:p>
            <w:pPr>
              <w:widowControl/>
              <w:spacing w:after="24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after="240"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after="2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8对</w:t>
            </w:r>
          </w:p>
        </w:tc>
      </w:tr>
    </w:tbl>
    <w:p>
      <w:pPr>
        <w:jc w:val="left"/>
        <w:rPr>
          <w:sz w:val="32"/>
          <w:szCs w:val="32"/>
        </w:rPr>
      </w:pPr>
    </w:p>
    <w:tbl>
      <w:tblPr>
        <w:jc w:val="left"/>
        <w:tblInd w:w="58" w:type="dxa"/>
        <w:tblW w:w="815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7054"/>
      </w:tblGrid>
      <w:t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sz w:val="24"/>
                <w:szCs w:val="24"/>
                <w:lang w:val="zh-TW" w:eastAsia="zh-TW"/>
              </w:rPr>
              <w:t>服务要求项目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sz w:val="24"/>
                <w:szCs w:val="24"/>
                <w:lang w:val="zh-TW" w:eastAsia="zh-TW"/>
              </w:rPr>
              <w:t>服务要求标准</w:t>
            </w:r>
          </w:p>
        </w:tc>
      </w:tr>
      <w:tr>
        <w:trPr>
          <w:trHeight w:val="6967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售后服务标准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投标人承诺：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  <w:lang w:val="zh-TW" w:eastAsia="zh-TW"/>
              </w:rPr>
              <w:t xml:space="preserve">1.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投标方应向招标方提供全面、有效、及时的技术支持和服务，投标方应提供具体的售后服务说明，提供售后服务具体措施、应急措施等，应详细说明技术指导和技术支持的范围和程度，包括技术支持方式、响应时间、问题处理时间、技术支持能力等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  <w:lang w:val="zh-TW" w:eastAsia="zh-TW"/>
              </w:rPr>
              <w:t xml:space="preserve">2.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在试运行期间（试运行期不短于</w:t>
            </w:r>
            <w:r>
              <w:rPr>
                <w:rFonts w:ascii="宋体" w:cs="宋体" w:hint="eastAsia"/>
                <w:sz w:val="24"/>
                <w:szCs w:val="24"/>
              </w:rPr>
              <w:t>1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个月），投标方需响应招标方的现场负责维护工作。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  <w:lang w:val="zh-TW" w:eastAsia="zh-TW"/>
              </w:rPr>
              <w:t xml:space="preserve">3.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投标方应指定参与此项目实施的人员担任售后服务负责人，并与招标方保持联系（包括邮件、电话等方式）。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  <w:lang w:val="zh-TW" w:eastAsia="zh-TW"/>
              </w:rPr>
              <w:t xml:space="preserve">4.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设备质量保证期从设备到货验收通过之日起开始计算。在软硬件产品质量保证期内，一旦出现故障，投标方负责协调组织免费进行维修和备件更换</w:t>
            </w:r>
            <w:r>
              <w:rPr>
                <w:rFonts w:ascii="宋体" w:cs="宋体" w:hint="eastAsia"/>
                <w:sz w:val="24"/>
                <w:szCs w:val="24"/>
              </w:rPr>
              <w:t xml:space="preserve"> 。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如果在招标方要求的时间内仍未解决问题，则提供备机，问题解决后三个工作日内，提供故障处理报告。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  <w:lang w:val="zh-TW" w:eastAsia="zh-TW"/>
              </w:rPr>
              <w:t xml:space="preserve">5.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项目验收后</w:t>
            </w:r>
            <w:r>
              <w:rPr>
                <w:rFonts w:ascii="宋体" w:cs="宋体" w:hint="eastAsia"/>
                <w:sz w:val="24"/>
                <w:szCs w:val="24"/>
              </w:rPr>
              <w:t>3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年时间内，投标方应为此次采购的软硬件产品提供</w:t>
            </w:r>
            <w:r>
              <w:rPr>
                <w:rFonts w:ascii="宋体" w:cs="宋体" w:hint="eastAsia"/>
                <w:sz w:val="24"/>
                <w:szCs w:val="24"/>
              </w:rPr>
              <w:t>7×24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小时的技术支持服务。在接到招标方要求后，投标方应在</w:t>
            </w:r>
            <w:r>
              <w:rPr>
                <w:rFonts w:ascii="宋体" w:cs="宋体" w:hint="eastAsia"/>
                <w:sz w:val="24"/>
                <w:szCs w:val="24"/>
              </w:rPr>
              <w:t>4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小时内派遣售后服务工程师到达招标方现场提供技术支持。</w:t>
            </w:r>
          </w:p>
          <w:p>
            <w:pPr>
              <w:rPr>
                <w:rFonts w:ascii="宋体" w:cs="宋体"/>
                <w:sz w:val="24"/>
                <w:szCs w:val="24"/>
                <w:lang w:eastAsia="zh-TW"/>
              </w:rPr>
            </w:pPr>
            <w:r>
              <w:rPr>
                <w:rFonts w:ascii="宋体" w:cs="宋体"/>
                <w:sz w:val="24"/>
                <w:szCs w:val="24"/>
                <w:lang w:val="zh-TW" w:eastAsia="zh-TW"/>
              </w:rPr>
              <w:t xml:space="preserve">6.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项目验收后</w:t>
            </w:r>
            <w:r>
              <w:rPr>
                <w:rFonts w:ascii="宋体" w:cs="宋体" w:hint="eastAsia"/>
                <w:sz w:val="24"/>
                <w:szCs w:val="24"/>
              </w:rPr>
              <w:t>3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年时间内，投标方为此次采购的软硬件产品提供不少于每季度</w:t>
            </w:r>
            <w:r>
              <w:rPr>
                <w:rFonts w:ascii="宋体" w:cs="宋体" w:hint="eastAsia"/>
                <w:sz w:val="24"/>
                <w:szCs w:val="24"/>
              </w:rPr>
              <w:t>1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次的巡检服务，在巡检结束后</w:t>
            </w:r>
            <w:r>
              <w:rPr>
                <w:rFonts w:ascii="宋体" w:cs="宋体" w:hint="eastAsia"/>
                <w:sz w:val="24"/>
                <w:szCs w:val="24"/>
              </w:rPr>
              <w:t>7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个工作日内提交巡检报告。巡检报告内容包括：巡检内容的详细说明、巡检过程中发现的问题或隐患、问题或隐患产生的后果分析、处理问题或隐患的解决方案。如发现异常，经招标方确认后，投标方应及时对巡检过程中发现的隐患或问题进行处置。</w:t>
            </w:r>
          </w:p>
        </w:tc>
      </w:tr>
      <w:tr>
        <w:trPr>
          <w:trHeight w:val="2711"/>
        </w:trPr>
        <w:tc>
          <w:tcPr>
            <w:tcW w:w="1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宋体" w:cs="宋体" w:hint="eastAsia"/>
                <w:sz w:val="24"/>
                <w:szCs w:val="24"/>
                <w:lang w:val="zh-TW" w:eastAsia="zh-TW"/>
              </w:rPr>
            </w:pP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巡检服务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巡检服务主要有以下内容：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1.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控制系统运行情况</w:t>
            </w:r>
            <w:r>
              <w:rPr>
                <w:rFonts w:ascii="宋体" w:cs="宋体" w:hint="eastAsia"/>
                <w:sz w:val="24"/>
                <w:szCs w:val="24"/>
              </w:rPr>
              <w:t>,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系统稳定性测量，接地线牢固性。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2.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主要设备部件和外围设备运行情况。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3.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所有连接接口、线缆、电源等可能容易导致设备出现问题的敏感部件的稳定性。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4.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计算机操作系统整理、杀毒、数据备份；检查系统错误日志文件和清理系统错误日志文件。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5.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协助客户操控人员，解决和分析日常设备运行中出现的未解决问题。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6.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对整个屏体进行安全检查，如挂件牢固性、钢结构、外装饰安全老化漏水情况。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7.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显示屏整个供电系统进行系统检测（包括线路、配电柜检测、接线端子稳固性、屏体各路阻抗情况）。《</w:t>
            </w:r>
            <w:r>
              <w:rPr>
                <w:rFonts w:ascii="宋体" w:cs="宋体" w:hint="eastAsia"/>
                <w:sz w:val="24"/>
                <w:szCs w:val="24"/>
              </w:rPr>
              <w:t>LED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显示系统运行记录》应体现</w:t>
            </w:r>
            <w:r>
              <w:rPr>
                <w:rFonts w:ascii="宋体" w:cs="宋体" w:hint="eastAsia"/>
                <w:sz w:val="24"/>
                <w:szCs w:val="24"/>
              </w:rPr>
              <w:t>PLC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温度监控日常记录，同时也跟踪了空调运行情况。发现异常，及时排查。</w:t>
            </w:r>
          </w:p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8.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整个显示系统显示情况检测，确保显示单元显示完整性和整屏屏体内控制稳定性。维护人员对显示系统进行专业恒定，排除因缺少灰度、亮度不正常等运转箱体。</w:t>
            </w:r>
          </w:p>
          <w:p>
            <w:pPr>
              <w:rPr>
                <w:rFonts w:ascii="宋体" w:cs="宋体" w:hint="eastAsia"/>
                <w:sz w:val="24"/>
                <w:szCs w:val="24"/>
                <w:lang w:val="zh-TW" w:eastAsia="zh-TW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9. 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重大活动保驾护航服务，对于重大活动，公司委派专人到现场保驾护航，确保客户活动顺利圆满完成。</w:t>
            </w:r>
          </w:p>
        </w:tc>
      </w:tr>
      <w:t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培训</w:t>
            </w:r>
          </w:p>
        </w:tc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widowControl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投标方应为此项目编制培训手册，为招标方人员提供技术指导和不少于</w:t>
            </w:r>
            <w:r>
              <w:rPr>
                <w:rFonts w:ascii="宋体" w:cs="宋体" w:hint="eastAsia"/>
                <w:sz w:val="24"/>
                <w:szCs w:val="24"/>
              </w:rPr>
              <w:t>5</w:t>
            </w:r>
            <w:r>
              <w:rPr>
                <w:rFonts w:ascii="宋体" w:cs="宋体" w:hint="eastAsia"/>
                <w:sz w:val="24"/>
                <w:szCs w:val="24"/>
                <w:lang w:val="zh-TW" w:eastAsia="zh-TW"/>
              </w:rPr>
              <w:t>人次的现场培训。</w:t>
            </w:r>
            <w:bookmarkStart w:id="0" w:name="_GoBack"/>
            <w:bookmarkEnd w:id="0"/>
          </w:p>
        </w:tc>
      </w:tr>
    </w:tbl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sectPr>
      <w:footerReference w:type="default" r:id="rId2"/>
      <w:footerReference w:type="even" r:id="rId3"/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framePr w:w="0" w:hRule="auto" w:wrap="around" w:vAnchor="text" w:hAnchor="margin" w:xAlign="center" w:y="1" w:anchorLock="0"/>
      <w:tabs>
        <w:tab w:val="center" w:pos="4153"/>
        <w:tab w:val="right" w:pos="8306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</w:t>
    </w:r>
    <w:r>
      <w:rPr>
        <w:rStyle w:val="18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framePr w:w="0" w:hRule="auto" w:wrap="around" w:vAnchor="text" w:hAnchor="margin" w:xAlign="center" w:y="1" w:anchorLock="0"/>
      <w:tabs>
        <w:tab w:val="center" w:pos="4153"/>
        <w:tab w:val="right" w:pos="8306"/>
      </w:tabs>
    </w:pPr>
    <w:r>
      <w:rPr>
        <w:rStyle w:val="18"/>
      </w:rPr>
      <w:fldChar w:fldCharType="begin"/>
    </w:r>
    <w:r>
      <w:rPr>
        <w:rStyle w:val="18"/>
      </w:rPr>
      <w:instrText>Page</w:instrText>
    </w:r>
    <w:r>
      <w:rPr>
        <w:rStyle w:val="18"/>
      </w:rPr>
      <w:fldChar w:fldCharType="separate"/>
    </w:r>
    <w:r>
      <w:rPr>
        <w:rStyle w:val="18"/>
      </w:rPr>
      <w:t>1</w:t>
    </w:r>
    <w:r>
      <w:rPr>
        <w:rStyle w:val="18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Balloon Text"/>
    <w:basedOn w:val="0"/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8">
    <w:name w:val="page number"/>
    <w:basedOn w:val="1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47</TotalTime>
  <Application>Yozo_Office</Application>
  <Pages>5</Pages>
  <Words>2495</Words>
  <Characters>2880</Characters>
  <Lines>262</Lines>
  <Paragraphs>109</Paragraphs>
  <CharactersWithSpaces>2983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zhao</dc:creator>
  <cp:lastModifiedBy>Microsoft</cp:lastModifiedBy>
  <cp:revision>4</cp:revision>
  <dcterms:created xsi:type="dcterms:W3CDTF">2019-09-09T02:48:00Z</dcterms:created>
  <dcterms:modified xsi:type="dcterms:W3CDTF">2019-11-25T01:53:34Z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2052-10.8.0.5391</vt:lpwstr>
  </property>
</Properties>
</file>