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8E" w:rsidRDefault="006E0AD1">
      <w:pPr>
        <w:tabs>
          <w:tab w:val="left" w:pos="1320"/>
        </w:tabs>
        <w:spacing w:beforeLines="50" w:before="156" w:afterLines="50" w:after="156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一、总体要求</w:t>
      </w:r>
    </w:p>
    <w:p w:rsidR="006B608E" w:rsidRDefault="006E0AD1">
      <w:pPr>
        <w:numPr>
          <w:ilvl w:val="0"/>
          <w:numId w:val="2"/>
        </w:numPr>
        <w:tabs>
          <w:tab w:val="left" w:pos="525"/>
        </w:tabs>
        <w:snapToGrid w:val="0"/>
        <w:spacing w:beforeLines="100" w:before="312" w:line="312" w:lineRule="auto"/>
        <w:ind w:hanging="705"/>
        <w:outlineLvl w:val="2"/>
        <w:rPr>
          <w:rFonts w:ascii="宋体" w:hAnsi="宋体"/>
          <w:b/>
          <w:sz w:val="24"/>
          <w:szCs w:val="24"/>
        </w:rPr>
      </w:pPr>
      <w:bookmarkStart w:id="0" w:name="_Toc226186119"/>
      <w:r>
        <w:rPr>
          <w:rFonts w:ascii="宋体" w:hAnsi="宋体" w:hint="eastAsia"/>
          <w:b/>
          <w:sz w:val="24"/>
        </w:rPr>
        <w:t>项目说明</w:t>
      </w:r>
      <w:bookmarkEnd w:id="0"/>
    </w:p>
    <w:p w:rsidR="006B608E" w:rsidRDefault="006E0AD1">
      <w:pPr>
        <w:numPr>
          <w:ilvl w:val="1"/>
          <w:numId w:val="2"/>
        </w:numPr>
        <w:snapToGrid w:val="0"/>
        <w:spacing w:line="312" w:lineRule="auto"/>
        <w:ind w:left="601" w:hanging="60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本部分内容是根据本项目实际情况制定的。</w:t>
      </w:r>
    </w:p>
    <w:p w:rsidR="006B608E" w:rsidRDefault="006E0AD1">
      <w:pPr>
        <w:numPr>
          <w:ilvl w:val="1"/>
          <w:numId w:val="2"/>
        </w:numPr>
        <w:snapToGrid w:val="0"/>
        <w:spacing w:line="312" w:lineRule="auto"/>
        <w:ind w:left="601" w:hanging="60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供应商必须仔细阅读本部分的全部条款。对本部分中存在的任何疑问、遗漏或相互矛盾之处，或是对于相关要求不清楚，认为存在歧视、限制的情况，供应商可以向采购中心寻求书面澄清。</w:t>
      </w:r>
    </w:p>
    <w:p w:rsidR="006B608E" w:rsidRDefault="006E0AD1">
      <w:pPr>
        <w:numPr>
          <w:ilvl w:val="0"/>
          <w:numId w:val="2"/>
        </w:numPr>
        <w:tabs>
          <w:tab w:val="left" w:pos="525"/>
        </w:tabs>
        <w:snapToGrid w:val="0"/>
        <w:spacing w:beforeLines="100" w:before="312" w:line="312" w:lineRule="auto"/>
        <w:ind w:hanging="705"/>
        <w:outlineLvl w:val="2"/>
        <w:rPr>
          <w:rFonts w:ascii="宋体" w:hAnsi="宋体"/>
          <w:b/>
          <w:sz w:val="24"/>
        </w:rPr>
      </w:pPr>
      <w:bookmarkStart w:id="1" w:name="_Toc226186120"/>
      <w:r>
        <w:rPr>
          <w:rFonts w:ascii="宋体" w:hAnsi="宋体" w:hint="eastAsia"/>
          <w:b/>
          <w:sz w:val="24"/>
        </w:rPr>
        <w:t>技术</w:t>
      </w:r>
      <w:bookmarkEnd w:id="1"/>
      <w:r>
        <w:rPr>
          <w:rFonts w:ascii="宋体" w:hAnsi="宋体" w:hint="eastAsia"/>
          <w:b/>
          <w:sz w:val="24"/>
        </w:rPr>
        <w:t>标准</w:t>
      </w:r>
    </w:p>
    <w:p w:rsidR="006B608E" w:rsidRDefault="006E0AD1">
      <w:pPr>
        <w:numPr>
          <w:ilvl w:val="1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本项目适用中华人民共和国现行有效的国家规范、规程和标准。对于涉及新技术、新工艺和新材料的产品，其使用说明或操作说明等内容，或适用国外同类标准的内容，也是本项目文件技术规范的组成部分。</w:t>
      </w:r>
    </w:p>
    <w:p w:rsidR="006B608E" w:rsidRDefault="006E0AD1">
      <w:pPr>
        <w:numPr>
          <w:ilvl w:val="1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供应商提供的所有办公家具均应符合以下标准：</w:t>
      </w:r>
      <w:bookmarkStart w:id="2" w:name="_Toc158104198"/>
      <w:bookmarkStart w:id="3" w:name="_Toc159041200"/>
      <w:bookmarkStart w:id="4" w:name="_Toc159142434"/>
      <w:bookmarkStart w:id="5" w:name="_Toc159301723"/>
      <w:bookmarkStart w:id="6" w:name="_Toc159301779"/>
    </w:p>
    <w:p w:rsidR="006B608E" w:rsidRDefault="006E0AD1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强制性标准</w:t>
      </w:r>
      <w:bookmarkEnd w:id="2"/>
      <w:bookmarkEnd w:id="3"/>
      <w:bookmarkEnd w:id="4"/>
      <w:bookmarkEnd w:id="5"/>
      <w:bookmarkEnd w:id="6"/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GB 18580-2017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室内装饰装修材料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人造板及其制品中甲醛释放限量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GB 18581-2009   </w:t>
      </w:r>
      <w:r>
        <w:rPr>
          <w:rFonts w:hint="eastAsia"/>
          <w:sz w:val="24"/>
          <w:szCs w:val="24"/>
        </w:rPr>
        <w:t>室内装饰装修材料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溶剂型木器涂料中有害物质限量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GB 18583-2008   </w:t>
      </w:r>
      <w:r>
        <w:rPr>
          <w:rFonts w:hint="eastAsia"/>
          <w:sz w:val="24"/>
          <w:szCs w:val="24"/>
        </w:rPr>
        <w:t>室内装饰装修材料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胶粘剂中有害物质限量</w:t>
      </w:r>
      <w:r>
        <w:rPr>
          <w:rFonts w:hint="eastAsia"/>
          <w:sz w:val="24"/>
          <w:szCs w:val="24"/>
        </w:rPr>
        <w:t xml:space="preserve"> 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GB 18584-2001   </w:t>
      </w:r>
      <w:r>
        <w:rPr>
          <w:rFonts w:hint="eastAsia"/>
          <w:sz w:val="24"/>
          <w:szCs w:val="24"/>
        </w:rPr>
        <w:t>室内装饰装修材料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木家具中有害物质限量</w:t>
      </w:r>
      <w:r>
        <w:rPr>
          <w:rFonts w:hint="eastAsia"/>
          <w:sz w:val="24"/>
          <w:szCs w:val="24"/>
        </w:rPr>
        <w:t xml:space="preserve"> 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GB 5296.6-2004  </w:t>
      </w:r>
      <w:r>
        <w:rPr>
          <w:rFonts w:hint="eastAsia"/>
          <w:sz w:val="24"/>
          <w:szCs w:val="24"/>
        </w:rPr>
        <w:t>消费品使用说明</w:t>
      </w:r>
    </w:p>
    <w:p w:rsidR="006B608E" w:rsidRDefault="006E0AD1">
      <w:pPr>
        <w:numPr>
          <w:ilvl w:val="0"/>
          <w:numId w:val="3"/>
        </w:numPr>
        <w:spacing w:line="360" w:lineRule="auto"/>
        <w:rPr>
          <w:rFonts w:ascii="宋体" w:hAnsi="宋体"/>
          <w:sz w:val="24"/>
          <w:szCs w:val="24"/>
        </w:rPr>
      </w:pPr>
      <w:bookmarkStart w:id="7" w:name="_Toc158104199"/>
      <w:bookmarkStart w:id="8" w:name="_Toc159041201"/>
      <w:bookmarkStart w:id="9" w:name="_Toc159142435"/>
      <w:bookmarkStart w:id="10" w:name="_Toc159301724"/>
      <w:bookmarkStart w:id="11" w:name="_Toc159301780"/>
      <w:r>
        <w:rPr>
          <w:rFonts w:ascii="宋体" w:hAnsi="宋体" w:hint="eastAsia"/>
          <w:sz w:val="24"/>
        </w:rPr>
        <w:t>质量及技术标准</w:t>
      </w:r>
      <w:bookmarkEnd w:id="7"/>
      <w:bookmarkEnd w:id="8"/>
      <w:bookmarkEnd w:id="9"/>
      <w:bookmarkEnd w:id="10"/>
      <w:bookmarkEnd w:id="11"/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3324-2017     </w:t>
      </w:r>
      <w:r>
        <w:rPr>
          <w:rFonts w:hint="eastAsia"/>
          <w:sz w:val="24"/>
        </w:rPr>
        <w:t>木家具通用技术条件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3325-2017     </w:t>
      </w:r>
      <w:r>
        <w:rPr>
          <w:rFonts w:hint="eastAsia"/>
          <w:sz w:val="24"/>
        </w:rPr>
        <w:t>金属家具通用技术条件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3326-2016     </w:t>
      </w:r>
      <w:r>
        <w:rPr>
          <w:rFonts w:hint="eastAsia"/>
          <w:sz w:val="24"/>
        </w:rPr>
        <w:t>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桌、椅、</w:t>
      </w:r>
      <w:proofErr w:type="gramStart"/>
      <w:r>
        <w:rPr>
          <w:rFonts w:hint="eastAsia"/>
          <w:sz w:val="24"/>
        </w:rPr>
        <w:t>凳类主要</w:t>
      </w:r>
      <w:proofErr w:type="gramEnd"/>
      <w:r>
        <w:rPr>
          <w:rFonts w:hint="eastAsia"/>
          <w:sz w:val="24"/>
        </w:rPr>
        <w:t>尺寸</w:t>
      </w:r>
      <w:r>
        <w:rPr>
          <w:rFonts w:hint="eastAsia"/>
          <w:sz w:val="24"/>
        </w:rPr>
        <w:t xml:space="preserve">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3327-2016     </w:t>
      </w:r>
      <w:r>
        <w:rPr>
          <w:rFonts w:hint="eastAsia"/>
          <w:sz w:val="24"/>
        </w:rPr>
        <w:t>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柜类主要尺寸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3328-2016     </w:t>
      </w:r>
      <w:r>
        <w:rPr>
          <w:rFonts w:hint="eastAsia"/>
          <w:sz w:val="24"/>
        </w:rPr>
        <w:t>家具</w:t>
      </w:r>
      <w:r>
        <w:rPr>
          <w:rFonts w:hint="eastAsia"/>
          <w:sz w:val="24"/>
        </w:rPr>
        <w:t xml:space="preserve">  </w:t>
      </w:r>
      <w:proofErr w:type="gramStart"/>
      <w:r>
        <w:rPr>
          <w:rFonts w:hint="eastAsia"/>
          <w:sz w:val="24"/>
        </w:rPr>
        <w:t>床类主要</w:t>
      </w:r>
      <w:proofErr w:type="gramEnd"/>
      <w:r>
        <w:rPr>
          <w:rFonts w:hint="eastAsia"/>
          <w:sz w:val="24"/>
        </w:rPr>
        <w:t>尺寸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22792.1-2009    </w:t>
      </w:r>
      <w:r>
        <w:rPr>
          <w:rFonts w:hint="eastAsia"/>
          <w:sz w:val="24"/>
        </w:rPr>
        <w:t>办公家具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屏风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部分：尺寸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 22792.2-2008    </w:t>
      </w:r>
      <w:r>
        <w:rPr>
          <w:rFonts w:hint="eastAsia"/>
          <w:sz w:val="24"/>
        </w:rPr>
        <w:t>办公家具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屏风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部分：安全要求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2384-2010     </w:t>
      </w:r>
      <w:r>
        <w:rPr>
          <w:rFonts w:hint="eastAsia"/>
          <w:sz w:val="24"/>
        </w:rPr>
        <w:t>木制写字桌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2530-2011     </w:t>
      </w:r>
      <w:r>
        <w:rPr>
          <w:rFonts w:hint="eastAsia"/>
          <w:sz w:val="24"/>
        </w:rPr>
        <w:t>木制柜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2280-2016     </w:t>
      </w:r>
      <w:r>
        <w:rPr>
          <w:rFonts w:hint="eastAsia"/>
          <w:sz w:val="24"/>
        </w:rPr>
        <w:t>办公家具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办公</w:t>
      </w:r>
      <w:proofErr w:type="gramStart"/>
      <w:r>
        <w:rPr>
          <w:rFonts w:hint="eastAsia"/>
          <w:sz w:val="24"/>
        </w:rPr>
        <w:t>椅</w:t>
      </w:r>
      <w:proofErr w:type="gramEnd"/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>QB/T 195</w:t>
      </w:r>
      <w:r>
        <w:rPr>
          <w:rFonts w:hint="eastAsia"/>
          <w:sz w:val="24"/>
        </w:rPr>
        <w:t xml:space="preserve">1.1-2010   </w:t>
      </w:r>
      <w:r>
        <w:rPr>
          <w:rFonts w:hint="eastAsia"/>
          <w:sz w:val="24"/>
        </w:rPr>
        <w:t>木家具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质量检验及质量评定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1951.2-2013   </w:t>
      </w:r>
      <w:r>
        <w:rPr>
          <w:rFonts w:hint="eastAsia"/>
          <w:sz w:val="24"/>
        </w:rPr>
        <w:t>金属家具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质量检验及质量评定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2602-2013     </w:t>
      </w:r>
      <w:r>
        <w:rPr>
          <w:rFonts w:hint="eastAsia"/>
          <w:sz w:val="24"/>
        </w:rPr>
        <w:t>影剧院公共座椅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2383-1998     </w:t>
      </w:r>
      <w:r>
        <w:rPr>
          <w:rFonts w:hint="eastAsia"/>
          <w:sz w:val="24"/>
        </w:rPr>
        <w:t>餐桌餐椅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2603-2013     </w:t>
      </w:r>
      <w:r>
        <w:rPr>
          <w:rFonts w:hint="eastAsia"/>
          <w:sz w:val="24"/>
        </w:rPr>
        <w:t>木制宾馆家具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1952.1-2012   </w:t>
      </w:r>
      <w:r>
        <w:rPr>
          <w:rFonts w:hint="eastAsia"/>
          <w:sz w:val="24"/>
        </w:rPr>
        <w:t>软体家具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沙发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lastRenderedPageBreak/>
        <w:t xml:space="preserve">QB/T 1952.2-2011   </w:t>
      </w:r>
      <w:r>
        <w:rPr>
          <w:rFonts w:hint="eastAsia"/>
          <w:sz w:val="24"/>
        </w:rPr>
        <w:t>软体家具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弹簧软床垫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13668-2015    </w:t>
      </w:r>
      <w:r>
        <w:rPr>
          <w:rFonts w:hint="eastAsia"/>
          <w:sz w:val="24"/>
        </w:rPr>
        <w:t>钢制书柜、资料柜通用技术条件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13667.3-2013  </w:t>
      </w:r>
      <w:r>
        <w:rPr>
          <w:rFonts w:hint="eastAsia"/>
          <w:sz w:val="24"/>
        </w:rPr>
        <w:t>钢制书架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部分：手动密集书架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13667.4-2013  </w:t>
      </w:r>
      <w:r>
        <w:rPr>
          <w:rFonts w:hint="eastAsia"/>
          <w:sz w:val="24"/>
        </w:rPr>
        <w:t>钢制书架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部分：电动密集书架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 19517-2009    </w:t>
      </w:r>
      <w:r>
        <w:rPr>
          <w:rFonts w:hint="eastAsia"/>
          <w:sz w:val="24"/>
        </w:rPr>
        <w:t>国家电气设备安全技术规范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QB/T 2741-2013     </w:t>
      </w:r>
      <w:r>
        <w:rPr>
          <w:rFonts w:hint="eastAsia"/>
          <w:sz w:val="24"/>
        </w:rPr>
        <w:t>学生公寓多功能家具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4897-2015     </w:t>
      </w:r>
      <w:r>
        <w:rPr>
          <w:rFonts w:hint="eastAsia"/>
          <w:sz w:val="24"/>
        </w:rPr>
        <w:t>刨花板</w:t>
      </w:r>
      <w:r>
        <w:rPr>
          <w:rFonts w:hint="eastAsia"/>
          <w:sz w:val="24"/>
        </w:rPr>
        <w:t xml:space="preserve">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11718-2009    </w:t>
      </w:r>
      <w:r>
        <w:rPr>
          <w:rFonts w:hint="eastAsia"/>
          <w:sz w:val="24"/>
        </w:rPr>
        <w:t>中密度纤维板</w:t>
      </w:r>
      <w:r>
        <w:rPr>
          <w:rFonts w:hint="eastAsia"/>
          <w:sz w:val="24"/>
        </w:rPr>
        <w:t xml:space="preserve">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9846-2015     </w:t>
      </w:r>
      <w:r>
        <w:rPr>
          <w:rFonts w:hint="eastAsia"/>
          <w:sz w:val="24"/>
        </w:rPr>
        <w:t>普通胶合板</w:t>
      </w:r>
      <w:r>
        <w:rPr>
          <w:rFonts w:hint="eastAsia"/>
          <w:sz w:val="24"/>
        </w:rPr>
        <w:t xml:space="preserve"> 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GB/T 15102-2006    </w:t>
      </w:r>
      <w:r>
        <w:rPr>
          <w:rFonts w:hint="eastAsia"/>
          <w:sz w:val="24"/>
        </w:rPr>
        <w:t>浸渍胶膜纸饰面人造板</w:t>
      </w:r>
    </w:p>
    <w:p w:rsidR="006B608E" w:rsidRDefault="006E0AD1">
      <w:pPr>
        <w:numPr>
          <w:ilvl w:val="1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供货产品应当达到现行国家及省、市、行业有关法规、规范的要求，如有新规范颁布，应以新的</w:t>
      </w:r>
      <w:r>
        <w:rPr>
          <w:rFonts w:ascii="宋体" w:hAnsi="宋体" w:hint="eastAsia"/>
          <w:sz w:val="24"/>
        </w:rPr>
        <w:t>规范为准，如上述标准及规范要求有出入则以较严格者为准。</w:t>
      </w:r>
    </w:p>
    <w:p w:rsidR="006B608E" w:rsidRDefault="006E0AD1">
      <w:pPr>
        <w:numPr>
          <w:ilvl w:val="1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按照《国务院关于印发“十三五”节能减排综合工作方案的通知》（国发〔</w:t>
      </w:r>
      <w:r>
        <w:rPr>
          <w:rFonts w:ascii="宋体" w:hAnsi="宋体" w:hint="eastAsia"/>
          <w:sz w:val="24"/>
        </w:rPr>
        <w:t>2016</w:t>
      </w:r>
      <w:r>
        <w:rPr>
          <w:rFonts w:ascii="宋体" w:hAnsi="宋体" w:hint="eastAsia"/>
          <w:sz w:val="24"/>
        </w:rPr>
        <w:t>〕</w:t>
      </w:r>
      <w:r>
        <w:rPr>
          <w:rFonts w:ascii="宋体" w:hAnsi="宋体" w:hint="eastAsia"/>
          <w:sz w:val="24"/>
        </w:rPr>
        <w:t>74</w:t>
      </w:r>
      <w:r>
        <w:rPr>
          <w:rFonts w:ascii="宋体" w:hAnsi="宋体" w:hint="eastAsia"/>
          <w:sz w:val="24"/>
        </w:rPr>
        <w:t>号），家具产品应使用低挥发性原辅材料。</w:t>
      </w: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</w:p>
    <w:p w:rsidR="006B608E" w:rsidRDefault="006E0AD1">
      <w:pPr>
        <w:numPr>
          <w:ilvl w:val="0"/>
          <w:numId w:val="2"/>
        </w:numPr>
        <w:tabs>
          <w:tab w:val="left" w:pos="525"/>
        </w:tabs>
        <w:snapToGrid w:val="0"/>
        <w:spacing w:beforeLines="100" w:before="312" w:line="312" w:lineRule="auto"/>
        <w:ind w:hanging="705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报价要求</w:t>
      </w: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>根据财政部（关于印发《中央行政单位通用办公设备家具配置标准》的通知</w:t>
      </w:r>
      <w:proofErr w:type="gramStart"/>
      <w:r>
        <w:rPr>
          <w:rFonts w:hint="eastAsia"/>
          <w:sz w:val="24"/>
        </w:rPr>
        <w:t>》</w:t>
      </w:r>
      <w:proofErr w:type="gramEnd"/>
      <w:r>
        <w:rPr>
          <w:rFonts w:hint="eastAsia"/>
          <w:sz w:val="24"/>
        </w:rPr>
        <w:t>（财资</w:t>
      </w:r>
      <w:r>
        <w:rPr>
          <w:rFonts w:hint="eastAsia"/>
          <w:sz w:val="24"/>
        </w:rPr>
        <w:t>[2016]27</w:t>
      </w:r>
      <w:r>
        <w:rPr>
          <w:rFonts w:hint="eastAsia"/>
          <w:sz w:val="24"/>
        </w:rPr>
        <w:t>号））规定，本次采购部分产品属于配置标准表中产品，供应商应结合采购人实际采购情况，报价不得超过价格上限，价格上限要求详见下表：</w:t>
      </w: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leftChars="100" w:left="210" w:firstLineChars="200" w:firstLine="480"/>
        <w:rPr>
          <w:sz w:val="24"/>
        </w:rPr>
      </w:pPr>
    </w:p>
    <w:p w:rsidR="006B608E" w:rsidRDefault="006E0AD1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jc w:val="center"/>
        <w:rPr>
          <w:sz w:val="24"/>
        </w:rPr>
      </w:pPr>
      <w:r>
        <w:rPr>
          <w:rFonts w:hint="eastAsia"/>
          <w:sz w:val="24"/>
        </w:rPr>
        <w:t>中央行政单位通用办公家具配置标准表</w:t>
      </w: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jc w:val="center"/>
        <w:rPr>
          <w:sz w:val="24"/>
        </w:rPr>
      </w:pPr>
    </w:p>
    <w:tbl>
      <w:tblPr>
        <w:tblW w:w="1114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00"/>
        <w:gridCol w:w="3012"/>
        <w:gridCol w:w="2657"/>
        <w:gridCol w:w="1646"/>
        <w:gridCol w:w="2014"/>
      </w:tblGrid>
      <w:tr w:rsidR="006B608E">
        <w:trPr>
          <w:trHeight w:val="465"/>
          <w:jc w:val="center"/>
        </w:trPr>
        <w:tc>
          <w:tcPr>
            <w:tcW w:w="1820" w:type="dxa"/>
            <w:gridSpan w:val="2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资产品目</w:t>
            </w:r>
          </w:p>
        </w:tc>
        <w:tc>
          <w:tcPr>
            <w:tcW w:w="3012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数量上限（套、件、组）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价格上限（元）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最低使用年限（年）</w:t>
            </w:r>
          </w:p>
        </w:tc>
        <w:tc>
          <w:tcPr>
            <w:tcW w:w="2014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性能要求</w:t>
            </w:r>
          </w:p>
        </w:tc>
      </w:tr>
      <w:tr w:rsidR="006B608E">
        <w:trPr>
          <w:trHeight w:val="679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</w:t>
            </w:r>
          </w:p>
        </w:tc>
        <w:tc>
          <w:tcPr>
            <w:tcW w:w="3012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司局级：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4,500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处级及以下：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3,000</w:t>
            </w:r>
          </w:p>
        </w:tc>
        <w:tc>
          <w:tcPr>
            <w:tcW w:w="1646" w:type="dxa"/>
            <w:vMerge w:val="restart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014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充分考虑办公布局，符合简朴实用、经典耐用要求，不得配置豪华家具，不得使用名贵木材</w:t>
            </w:r>
          </w:p>
        </w:tc>
      </w:tr>
      <w:tr w:rsidR="006B608E">
        <w:trPr>
          <w:trHeight w:val="679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</w:p>
        </w:tc>
        <w:tc>
          <w:tcPr>
            <w:tcW w:w="3012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司局级：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1,500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处级及以下：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1646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20"/>
          <w:jc w:val="center"/>
        </w:trPr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</w:p>
        </w:tc>
        <w:tc>
          <w:tcPr>
            <w:tcW w:w="110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三人沙发</w:t>
            </w:r>
          </w:p>
        </w:tc>
        <w:tc>
          <w:tcPr>
            <w:tcW w:w="3012" w:type="dxa"/>
            <w:vMerge w:val="restart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视办公室使用面积，每个处级及以下办公室可以配置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个三人沙发或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个单人沙发，司局级办公室可以配置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个三人沙发和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个单人沙发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3,000</w:t>
            </w:r>
          </w:p>
        </w:tc>
        <w:tc>
          <w:tcPr>
            <w:tcW w:w="1646" w:type="dxa"/>
            <w:vMerge w:val="restart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20"/>
          <w:jc w:val="center"/>
        </w:trPr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单人沙发</w:t>
            </w:r>
          </w:p>
        </w:tc>
        <w:tc>
          <w:tcPr>
            <w:tcW w:w="3012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1,500</w:t>
            </w:r>
          </w:p>
        </w:tc>
        <w:tc>
          <w:tcPr>
            <w:tcW w:w="1646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390"/>
          <w:jc w:val="center"/>
        </w:trPr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茶几</w:t>
            </w:r>
          </w:p>
        </w:tc>
        <w:tc>
          <w:tcPr>
            <w:tcW w:w="110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大茶几</w:t>
            </w:r>
          </w:p>
        </w:tc>
        <w:tc>
          <w:tcPr>
            <w:tcW w:w="3012" w:type="dxa"/>
            <w:vMerge w:val="restart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视办公室使用面积，每个办公室可以选择配置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个大茶几或者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个小茶几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1,000</w:t>
            </w:r>
          </w:p>
        </w:tc>
        <w:tc>
          <w:tcPr>
            <w:tcW w:w="1646" w:type="dxa"/>
            <w:vMerge w:val="restart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04"/>
          <w:jc w:val="center"/>
        </w:trPr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小茶几</w:t>
            </w:r>
          </w:p>
        </w:tc>
        <w:tc>
          <w:tcPr>
            <w:tcW w:w="3012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1646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31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桌前椅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66"/>
          <w:jc w:val="center"/>
        </w:trPr>
        <w:tc>
          <w:tcPr>
            <w:tcW w:w="1820" w:type="dxa"/>
            <w:gridSpan w:val="2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书柜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司局级：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组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2,000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370"/>
          <w:jc w:val="center"/>
        </w:trPr>
        <w:tc>
          <w:tcPr>
            <w:tcW w:w="1820" w:type="dxa"/>
            <w:gridSpan w:val="2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处级及以下：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组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1,200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40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文件柜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组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司局级：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2,000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处级及以下：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1,000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20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55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更衣柜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组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司局级：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2,000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处级及以下：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1,000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01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保密柜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根据保密规定和工作需要合理配置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3,000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20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17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茶水柜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组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1,500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20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1303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会议桌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视会议室使用面积情况配置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会议室使用面积在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（含）平方米以下：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平方米；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50-100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（含）平方米：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平方米；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平方米以上：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20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58"/>
          <w:jc w:val="center"/>
        </w:trPr>
        <w:tc>
          <w:tcPr>
            <w:tcW w:w="1820" w:type="dxa"/>
            <w:gridSpan w:val="2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会议椅</w:t>
            </w:r>
          </w:p>
        </w:tc>
        <w:tc>
          <w:tcPr>
            <w:tcW w:w="3012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视会议室使用面积情况配置</w:t>
            </w:r>
          </w:p>
        </w:tc>
        <w:tc>
          <w:tcPr>
            <w:tcW w:w="265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1646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2014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780"/>
          <w:jc w:val="center"/>
        </w:trPr>
        <w:tc>
          <w:tcPr>
            <w:tcW w:w="11149" w:type="dxa"/>
            <w:gridSpan w:val="6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备注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  1.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配置具有组合功能的办公家具，价格不得高于各单项资产的价格之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和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300" w:firstLine="72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价格上限中的价格指单件家具的价格。</w:t>
            </w:r>
          </w:p>
        </w:tc>
      </w:tr>
    </w:tbl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</w:rPr>
      </w:pP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  <w:szCs w:val="24"/>
        </w:rPr>
      </w:pP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  <w:szCs w:val="24"/>
        </w:rPr>
      </w:pP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  <w:szCs w:val="24"/>
        </w:rPr>
      </w:pP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  <w:szCs w:val="24"/>
        </w:rPr>
      </w:pPr>
    </w:p>
    <w:p w:rsidR="006B608E" w:rsidRDefault="006B608E">
      <w:pPr>
        <w:pStyle w:val="1"/>
        <w:numPr>
          <w:ilvl w:val="0"/>
          <w:numId w:val="0"/>
        </w:numPr>
        <w:tabs>
          <w:tab w:val="left" w:pos="420"/>
        </w:tabs>
        <w:spacing w:line="360" w:lineRule="auto"/>
        <w:ind w:firstLineChars="300" w:firstLine="720"/>
        <w:rPr>
          <w:sz w:val="24"/>
          <w:szCs w:val="24"/>
        </w:rPr>
      </w:pPr>
    </w:p>
    <w:p w:rsidR="006B608E" w:rsidRDefault="006E0AD1">
      <w:pPr>
        <w:numPr>
          <w:ilvl w:val="0"/>
          <w:numId w:val="4"/>
        </w:numPr>
        <w:spacing w:beforeLines="50" w:before="156" w:afterLines="50" w:after="156"/>
        <w:jc w:val="center"/>
        <w:outlineLvl w:val="1"/>
        <w:rPr>
          <w:rFonts w:ascii="宋体" w:hAnsi="宋体"/>
          <w:b/>
          <w:sz w:val="32"/>
          <w:szCs w:val="32"/>
        </w:rPr>
      </w:pPr>
      <w:bookmarkStart w:id="12" w:name="_Toc318187209"/>
      <w:bookmarkStart w:id="13" w:name="_Toc226186121"/>
      <w:r>
        <w:rPr>
          <w:rFonts w:ascii="宋体" w:hAnsi="宋体" w:hint="eastAsia"/>
          <w:b/>
          <w:sz w:val="32"/>
          <w:szCs w:val="32"/>
        </w:rPr>
        <w:lastRenderedPageBreak/>
        <w:t>技术</w:t>
      </w:r>
      <w:bookmarkEnd w:id="12"/>
      <w:bookmarkEnd w:id="13"/>
      <w:r>
        <w:rPr>
          <w:rFonts w:ascii="宋体" w:hAnsi="宋体" w:hint="eastAsia"/>
          <w:b/>
          <w:sz w:val="32"/>
          <w:szCs w:val="32"/>
        </w:rPr>
        <w:t>要求</w:t>
      </w:r>
    </w:p>
    <w:p w:rsidR="006B608E" w:rsidRDefault="006E0AD1">
      <w:pPr>
        <w:jc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产品明细表</w:t>
      </w:r>
    </w:p>
    <w:p w:rsidR="006B608E" w:rsidRDefault="006E0AD1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第一包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木制家具</w:t>
      </w:r>
    </w:p>
    <w:tbl>
      <w:tblPr>
        <w:tblW w:w="1293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720"/>
        <w:gridCol w:w="720"/>
        <w:gridCol w:w="720"/>
        <w:gridCol w:w="1620"/>
        <w:gridCol w:w="5380"/>
        <w:gridCol w:w="1345"/>
        <w:gridCol w:w="1691"/>
      </w:tblGrid>
      <w:tr w:rsidR="006B608E">
        <w:trPr>
          <w:trHeight w:val="555"/>
          <w:jc w:val="center"/>
        </w:trPr>
        <w:tc>
          <w:tcPr>
            <w:tcW w:w="73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产品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材质配置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投报价格（元）</w:t>
            </w:r>
          </w:p>
        </w:tc>
        <w:tc>
          <w:tcPr>
            <w:tcW w:w="1691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产品图样</w:t>
            </w:r>
          </w:p>
        </w:tc>
      </w:tr>
      <w:tr w:rsidR="006B608E">
        <w:trPr>
          <w:trHeight w:val="1350"/>
          <w:jc w:val="center"/>
        </w:trPr>
        <w:tc>
          <w:tcPr>
            <w:tcW w:w="735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办公室家具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桌类</w:t>
            </w:r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办公桌（有副台）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主台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2200*1100*760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副台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1400*550*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办公桌构成：主台、副台、三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屉活动推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基材：台面选用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级优质人造板，其他部位选用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级优质刨花板；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封边：台面使用与木皮材质一致的实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三节静音滑轨、尼龙纤维合成脚轮。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结构性能描述：主台面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带薄抽，带合理走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线功能；三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屉活动推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柜（配优质连杆锁）下设前置导向轮；副台可移动，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带合理走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线功能，下设推拉门柜，柜内有中山，设搁板，柜门配优质锁具。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32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主台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2000*1000*760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副台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1200*500*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660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32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主台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1800*1000*760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副台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1200*500*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147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主台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1600*800*760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副台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1200*400*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10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办公桌（无副台）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1600*800*760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办公桌构成：主台、三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屉活动推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基材：台面选用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级优质人造板，其他部位选用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级优质刨花板；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封边：台面使用与木皮材质一致的实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三节静音滑轨、尼龙纤维合成脚轮。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带合理走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线功能，含连锁三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屉推柜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47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1500*750*760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级优质人造板，其他部位选用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级优质刨花板；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结构性能描述：桌面下并排三屉，左右各加开门，内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配活动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搁板一块。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85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1400*700*760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级优质人造板，其他部位选用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级优质刨花板；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三节静音滑轨、优质尼龙脚垫。</w:t>
            </w:r>
          </w:p>
          <w:p w:rsidR="006B608E" w:rsidRDefault="006E0AD1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结构性能描述：桌面下并排三屉，一侧加三抽屉。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6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1200*600*760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级优质人造板，其他部位选用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级优质刨花板；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三节静音滑轨、优质尼龙脚垫。</w:t>
            </w:r>
          </w:p>
          <w:p w:rsidR="006B608E" w:rsidRDefault="006E0AD1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结构性能描述：桌面下并排三屉。</w:t>
            </w:r>
          </w:p>
        </w:tc>
        <w:tc>
          <w:tcPr>
            <w:tcW w:w="1345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66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1500*750*760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板材：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级优质三聚氰胺饰面人造板。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封边：采用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PVC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封边带，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隐蔽部位封闭处理。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胶粘剂：优质环保胶粘剂。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三节静音滑轨、尼龙纤维合成脚轮。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结构性能描述：桌面下并排三屉，左右各加开门，内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配活动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搁板一块。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32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柜类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文件柜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900*400*2000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上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玻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下木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五金件：采用优质五金配件，带阻尼铰链，配优质尼龙脚垫。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结构性能描述：上下门均为对开门，带锁，搁板厚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。上门内设二块可调搁板，下门内设一块可调搁板。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192"/>
          <w:jc w:val="center"/>
        </w:trPr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900*400*2000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四板门</w:t>
            </w:r>
          </w:p>
        </w:tc>
        <w:tc>
          <w:tcPr>
            <w:tcW w:w="5380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44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书柜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900*400*2000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四玻璃门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五金件：采用优质五金配件，带阻尼铰链，配优质尼龙脚垫。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结构性能描述：上下门均为对开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，带锁，搁板厚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。上门内设二块可调搁板，下门内设一块可调搁板。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88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900*400*2000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上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玻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下板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339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更衣柜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00*2000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五金件：采用优质五金配件，带阻尼铰链，配优质尼龙脚垫。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通体单开门，带锁，配衣帽钩，内有两块固定搁板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横向不锈钢挂衣杆，挂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衣空间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，门内侧装半身镜。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71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00*2000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柜体结构选用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级优质三聚氰胺饰面人造板，≥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PVC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封边，隐蔽部位全部做封闭处理。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门板及其他正面可视部件基材选用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级优质人造板，双面贴一级天然木皮（包括胡桃木、樱桃木等），木皮厚度≥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，双面均衡涂饰优质水性漆。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五金件：采用优质五金配件，带阻尼铰链，配优质尼龙脚垫。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结构性能描述：通体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对开门，有中山板，两门分别带锁，内有两块固定搁板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两门内均配衣帽钩，半身镜，横向不锈钢挂衣杆，挂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衣空间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43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茶几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茶几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1200*600*450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硬杂木几架，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卯结构。木材含水率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，几面采用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厚优质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人造板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饰面材料：双面贴一级天然木皮（包括胡桃木、樱桃木等），木皮厚度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封边：几面使用与木皮材质一致的实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结构性能描述：距地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处设一搁板。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534"/>
          <w:jc w:val="center"/>
        </w:trPr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茶几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700*700*450</w:t>
            </w:r>
          </w:p>
        </w:tc>
        <w:tc>
          <w:tcPr>
            <w:tcW w:w="5380" w:type="dxa"/>
            <w:vMerge/>
            <w:tcBorders>
              <w:bottom w:val="single" w:sz="4" w:space="0" w:color="auto"/>
            </w:tcBorders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228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茶几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500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700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*550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71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单人位</w:t>
            </w:r>
            <w:proofErr w:type="gramEnd"/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选用优质一级牛皮覆面，满包结构；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单人位</w:t>
            </w:r>
            <w:proofErr w:type="gramEnd"/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PU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革覆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面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，露木结构；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出木部分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采用优质水性漆均衡涂饰。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单人位</w:t>
            </w:r>
            <w:proofErr w:type="gramEnd"/>
          </w:p>
        </w:tc>
        <w:tc>
          <w:tcPr>
            <w:tcW w:w="5380" w:type="dxa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麻绒覆面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，露木结构；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出木部分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采用优质水性漆均衡涂饰。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三人位</w:t>
            </w:r>
            <w:proofErr w:type="gramEnd"/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选用优质一级牛皮覆面，满包结构；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三人位</w:t>
            </w:r>
            <w:proofErr w:type="gramEnd"/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PU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革覆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面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，露木结构；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出木部分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采用优质水性漆均衡涂饰。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沙发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三人位</w:t>
            </w:r>
            <w:proofErr w:type="gramEnd"/>
          </w:p>
        </w:tc>
        <w:tc>
          <w:tcPr>
            <w:tcW w:w="5380" w:type="dxa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中背、带扶手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麻绒覆面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，露木结构；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内部实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木主框架，四面刨光，木材含水率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，弹簧或绷带材料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与泡棉之间有高强度织物隔垫。采用优质环保、高回弹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，无苯胶粘剂粘结；所有内部填充物清洁无异味。配优质尼龙脚垫。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出木部分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采用优质水性漆均衡涂饰。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9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椅类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高背，带扶手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优质一级牛皮覆面；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），座、背衬板采用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级弯曲木胶合板，厚度≥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；座背分体式结构。硬杂木扶手，木材含水率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前置式倾仰机构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，具备无级锁定功能；优质气压棒，行程≥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；优质钢架五星脚，硬杂木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盖板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优质水性漆均衡涂饰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9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高背，带扶手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优质一级牛皮覆面；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），座、背衬板采用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级弯曲木胶合板，厚度≥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；座背分体式结构。实木扶手，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优质水性漆均衡涂饰；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；优质前置式倾仰、锁定机构；优质气压棒，行程≥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；优质铝合金五星脚；优质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4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C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中背，带扶手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优质麻绒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面料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覆面；内衬优质环保高回弹一次成形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），座、背衬板采用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级弯曲木胶合板，厚度≥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座背分体式结构。优质前置式倾仰、锁定机构；优质气压棒，行程≥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；优质铝合金五星脚；优质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4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中背，带扶手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座衬板采用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级弯曲木胶合板，厚度≥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，优质尼龙网布覆面；内衬优质环保高回弹一次成形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），靠背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绷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优质尼龙网布；座背分体式结构。优质前置式倾仰、锁定机构；优质气压棒，行程≥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；优质铝合金五星脚；优质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4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办公椅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E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中背，无扶手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麻绒面料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覆面；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），座、背衬板采用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级弯曲木胶合板，厚度≥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；座背分体式结构。优质倾仰、锁定功能；优质气压棒，行程≥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；优质铝合金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五星脚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ind w:firstLineChars="100" w:firstLine="24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830"/>
          <w:jc w:val="center"/>
        </w:trPr>
        <w:tc>
          <w:tcPr>
            <w:tcW w:w="735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会议室家具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桌类</w:t>
            </w:r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会议桌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常规（中空型：单面进深≥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金属调节脚。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结构性能描述：有多媒体线盒和走线功能，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带桌斗及挡笔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沿。</w:t>
            </w:r>
          </w:p>
        </w:tc>
        <w:tc>
          <w:tcPr>
            <w:tcW w:w="1345" w:type="dxa"/>
            <w:vMerge w:val="restart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  <w:vMerge w:val="restart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7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22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会议桌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常规（非中空型：宽度≥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金属调节脚。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结构性能描述：有多媒体线盒和走线功能，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带桌斗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Merge w:val="restart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  <w:vMerge w:val="restart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44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398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主席台桌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*760</w:t>
            </w:r>
          </w:p>
        </w:tc>
        <w:tc>
          <w:tcPr>
            <w:tcW w:w="5380" w:type="dxa"/>
            <w:vMerge w:val="restart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金属调节脚。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结构性能描述：前挡板落地，有造型，有麦克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风接口和走线功能。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18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主席台桌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B1</w:t>
            </w:r>
          </w:p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33</w:t>
            </w:r>
          </w:p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00*600*760</w:t>
            </w: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3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38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249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电视柜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金属调节脚。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结构性能描述：有走线功能，中间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设空斗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，两侧设抽屉。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50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电视柜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00*600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金属调节脚。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结构性能描述：有走线功能，上部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设空斗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，下设对开门。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91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茶水柜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00*450*900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（柜面高）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；隐蔽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优质尼龙脚垫。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结构性能描述：三面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带挡沿，挡沿高度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，三屉三门结构，门内各设活动搁板一块，搁板厚度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59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strike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00*450*900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（柜面高）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优质尼龙脚垫。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结构性能描述：三面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带挡沿，挡沿高度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，柜面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下二屉二门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结构，门内设活动搁板一块，搁板厚度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58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椅类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主席台椅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中背、带扶手。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西南桦木实木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；椅座、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背采用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麻绒面料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覆面，内衬高回弹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，椅背半软包。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4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中背、带扶手。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西南桦木实木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；椅座、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背采用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一级牛皮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覆面，内衬高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，椅背半软包。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6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中背、带扶手。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一级牛皮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覆面；内衬优质环保高回弹一次成形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泡棉（座密度≥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 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）。优质气压棒，行程≥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，最低座面高≤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铝合金压铸五星脚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；优质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脚轮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3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中背，带扶手。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楸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椅架，四腿四望四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；椅座、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背采用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优质一级牛皮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覆面，内衬高回弹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，椅背半软包。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398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C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中背，带扶手。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楸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椅架，四腿四望四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；椅座、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背采用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优质麻绒面料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覆面，内衬高回弹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，椅背半软包。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46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会议椅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中背，无扶手。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采用西南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桦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椅架，四腿四望两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，椅座、椅背为实木，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5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折叠椅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优质钢管椅架，壁厚≥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，表面喷塑；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椅座、椅背采用优质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PU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革覆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面，内衬高回弹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泡棉，衬板采用优质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级多层板；配优质套脚。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720"/>
          <w:jc w:val="center"/>
        </w:trPr>
        <w:tc>
          <w:tcPr>
            <w:tcW w:w="735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休息室（寝室）家具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床类</w:t>
            </w:r>
            <w:proofErr w:type="gramEnd"/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单人床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1200*2000*1100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（床屏）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板式床箱，床屏采用实木框架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卯结构。床屏芯板采用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级优质人造板，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厚优质胡桃木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樱桃木皮饰面，所有油饰部分均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采用优质水性漆，均衡涂饰。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床板下设实木床带，不少于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根，木材含水率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。床箱、床板采用三聚氰胺饰面人造板，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PVC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封边，有拉手孔，孔内缘封闭处理。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床箱下面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钉尼龙脚垫。配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优质弹簧软床垫（厚度≥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180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57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柜类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床头柜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500*400*550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油漆：采用优质水性漆。</w:t>
            </w:r>
          </w:p>
          <w:p w:rsidR="006B608E" w:rsidRDefault="006E0AD1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五金件：采用优质五金配件，三节静音滑轨，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优质尼龙脚垫。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结构性能描述：两抽屉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834"/>
          <w:jc w:val="center"/>
        </w:trPr>
        <w:tc>
          <w:tcPr>
            <w:tcW w:w="735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餐厅家具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桌类</w:t>
            </w:r>
            <w:proofErr w:type="gramEnd"/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圆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直径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2000*760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桌面基材采用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级优质人造板，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厚优质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楸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木皮饰面，桌面板实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木封边，封边厚度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大于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2mm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桌架采用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硬杂木，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采用优质水性漆，双面均衡涂饰。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配φ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1200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体式钢化玻璃转盘。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　</w:t>
            </w:r>
          </w:p>
        </w:tc>
      </w:tr>
      <w:tr w:rsidR="006B608E">
        <w:trPr>
          <w:trHeight w:val="834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方餐桌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1620" w:type="dxa"/>
            <w:noWrap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1400*700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整体采用优质硬杂木制作，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桌架四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腿、四望，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采用优质水性漆，双面均衡涂饰。</w:t>
            </w:r>
          </w:p>
        </w:tc>
        <w:tc>
          <w:tcPr>
            <w:tcW w:w="1345" w:type="dxa"/>
            <w:vAlign w:val="center"/>
          </w:tcPr>
          <w:p w:rsidR="006B608E" w:rsidRDefault="006B608E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9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7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椅类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餐椅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中背，有扶手。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西南桦木实木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；椅座、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背采用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麻绒面料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覆面，内衬高回弹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PU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泡棉，座密度≥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，背密度≥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30kg/m</w:t>
            </w:r>
            <w:r>
              <w:rPr>
                <w:rFonts w:asciiTheme="minorEastAsia" w:eastAsiaTheme="minorEastAsia" w:hAnsiTheme="minorEastAsia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优质水性漆，均衡涂饰。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630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餐椅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常规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中背，无扶手。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西南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桦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实木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椅架，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卯结构，椅座、椅背为实木，木材含水率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优质水性漆，均衡涂饰。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配优质尼龙脚垫。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390"/>
          <w:jc w:val="center"/>
        </w:trPr>
        <w:tc>
          <w:tcPr>
            <w:tcW w:w="735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礼堂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教室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)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家具</w:t>
            </w:r>
          </w:p>
        </w:tc>
        <w:tc>
          <w:tcPr>
            <w:tcW w:w="72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桌类</w:t>
            </w:r>
            <w:proofErr w:type="gramEnd"/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讲桌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1000*520*1200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优质尼龙脚垫。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结构性能描述：有走线功能。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B608E">
        <w:trPr>
          <w:trHeight w:val="1125"/>
          <w:jc w:val="center"/>
        </w:trPr>
        <w:tc>
          <w:tcPr>
            <w:tcW w:w="735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条桌</w:t>
            </w:r>
          </w:p>
        </w:tc>
        <w:tc>
          <w:tcPr>
            <w:tcW w:w="7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62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00*760</w:t>
            </w:r>
          </w:p>
        </w:tc>
        <w:tc>
          <w:tcPr>
            <w:tcW w:w="5380" w:type="dxa"/>
            <w:vAlign w:val="center"/>
          </w:tcPr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基材：桌面选用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级优质人造板；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饰面材料：双面贴一级天然木皮（包括胡桃木、樱桃木等），木皮厚度≥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封边：桌面使用与木皮材质一致的实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木封边，封边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条厚度≥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，木材含水率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8—12%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；走线孔内缘及隐蔽部位全部做封闭处理。</w:t>
            </w:r>
          </w:p>
          <w:p w:rsidR="006B608E" w:rsidRDefault="006E0AD1">
            <w:pPr>
              <w:widowControl/>
              <w:ind w:firstLineChars="200" w:firstLine="4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油漆：采用优质水性漆，台面漆膜理化性能达到国标要求，硬度≥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胶粘剂：采用优质环保胶粘剂。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五金件：采用优质五金配件，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优质尼龙脚垫。</w:t>
            </w:r>
          </w:p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结构性能描述：有前挡板，带斗，桌面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有挡笔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沿。</w:t>
            </w:r>
          </w:p>
        </w:tc>
        <w:tc>
          <w:tcPr>
            <w:tcW w:w="1345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691" w:type="dxa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B608E" w:rsidRDefault="006B608E">
      <w:pPr>
        <w:rPr>
          <w:rFonts w:ascii="宋体" w:cs="宋体"/>
          <w:kern w:val="0"/>
          <w:sz w:val="36"/>
          <w:szCs w:val="36"/>
        </w:rPr>
      </w:pPr>
    </w:p>
    <w:p w:rsidR="006B608E" w:rsidRDefault="006E0AD1">
      <w:pPr>
        <w:rPr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第二包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钢制家具</w:t>
      </w:r>
    </w:p>
    <w:tbl>
      <w:tblPr>
        <w:tblW w:w="1376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760"/>
        <w:gridCol w:w="885"/>
        <w:gridCol w:w="567"/>
        <w:gridCol w:w="1843"/>
        <w:gridCol w:w="5724"/>
        <w:gridCol w:w="1647"/>
        <w:gridCol w:w="1701"/>
      </w:tblGrid>
      <w:tr w:rsidR="006B608E">
        <w:trPr>
          <w:trHeight w:val="405"/>
        </w:trPr>
        <w:tc>
          <w:tcPr>
            <w:tcW w:w="64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760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产品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规格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材质配置</w:t>
            </w:r>
          </w:p>
        </w:tc>
        <w:tc>
          <w:tcPr>
            <w:tcW w:w="164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投报价格（元）</w:t>
            </w:r>
          </w:p>
        </w:tc>
        <w:tc>
          <w:tcPr>
            <w:tcW w:w="1701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产品图样</w:t>
            </w:r>
          </w:p>
        </w:tc>
      </w:tr>
      <w:tr w:rsidR="006B608E">
        <w:trPr>
          <w:trHeight w:val="450"/>
        </w:trPr>
        <w:tc>
          <w:tcPr>
            <w:tcW w:w="640" w:type="dxa"/>
            <w:vMerge w:val="restart"/>
            <w:vAlign w:val="center"/>
          </w:tcPr>
          <w:p w:rsidR="006B608E" w:rsidRDefault="006E0AD1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钢制家具</w:t>
            </w:r>
          </w:p>
        </w:tc>
        <w:tc>
          <w:tcPr>
            <w:tcW w:w="76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薄边柜类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（柜边≤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10mm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文件柜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上下部均为对开钢板门，上门内设二块可调搁板，下门内设一块可调搁板。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处理，设加强筋。门内设加强筋。优质锁具。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双节文件柜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21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上下双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节组合，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每节为两扇对开钢板门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，门内均设二块可调搁板。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处理，中间设加强筋。门外设标签框。优质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抠手带锁，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双节柜之间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设定位装置。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书柜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1200*400*1850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厚优质一级冷轧钢板，表面静电喷塑处理。设偏置隔板，一侧为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通体钢板门，宽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530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，设加强筋，门内设二块固定搁板，配纵向金属挂衣杆，挂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衣空间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高≥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，门内侧设小镜子，通风孔，配优质锁具。剩余部分上部为钢框玻璃对开门，下部为对开板门，上门内设二块可调搁板，下门内设一块可调搁板。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两节玻璃移门书柜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上下双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节组合，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每节两扇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钢框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镶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玻璃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推拉门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，上门内设二块可调搁板，下门内设一块可调搁板。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处理，设加强筋。配优质锁具。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双节柜之间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设定位装置。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玻璃门书柜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优质一级冷轧钢板，表面静电喷塑处理。上部为钢框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镶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玻璃对开门，内设一块可调搁板。中部设并排两抽屉，下部为钢框玻璃对开门，内设一块可调搁板。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处理，中间设加强筋板。钢板门内设加强筋。优质锁具、三节静音滑轨。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上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玻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下钢书柜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厚优质一级冷轧钢板，表面静电喷塑处理。上部为两扇钢框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镶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玻璃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推拉门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，下部为对开钢板门。上门内设二块可调搁板，下门内设一块可调搁板。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处理，设加强筋。配优质锁具。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上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玻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下钢书柜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厚优质一级冷轧钢板，表面静电喷塑处理。上部为两扇钢框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镶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玻璃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对开门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，下部为对开钢板门。上门内设二块可调搁板，下门内设一块可调搁板。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处理，设加强筋。配优质锁具。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单门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更衣柜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00*500*1850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通体钢板门，内设二块固定搁板，配金属挂衣杆，挂衣杆上沿至底板距离≥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，门内侧设小镜子，配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衣帽钩。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带锁，设通风孔。门内侧加强筋。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45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双门</w:t>
            </w:r>
          </w:p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更衣柜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900*500*1850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通体钢板对开门，门内设隔板，两侧分别配金属挂衣杆，挂衣杆上沿至底板距离≥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1400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，内设两块固定搁板。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两扇门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内侧均设小镜子，配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衣帽钩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，门设通风孔，带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锁，门内侧设加强筋。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37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顶柜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00*400</w:t>
            </w:r>
          </w:p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对开钢板门，门内设加强筋。优质锁具。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537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顶柜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00*400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对开钢板门，门内设加强筋。优质锁具。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顶柜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00*400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对开钢板门，门内设加强筋。优质锁具。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保密柜类</w:t>
            </w: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四开门保密柜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厚优质一级冷轧钢板，表面静电喷塑处理。上下部均为对开钢板门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，各设抽屉，各带一块可调搁板，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处理，带加强筋。门外设标签框。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带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优质电子密码锁具。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双开门保密柜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900*400*1850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厚优质一级冷轧钢板，表面静电喷塑处理。通体对开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钢板门，中间设一块固定搁板及四块可调搁板。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搁板长边三折弯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处理，设加强筋。门内侧设加强筋。优质电子密码锁具。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床类</w:t>
            </w:r>
            <w:proofErr w:type="gramEnd"/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单人床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900*2000*1100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床腿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根，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见方，钢管壁厚≥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床望：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30*60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矩形钢管，壁厚≥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床带五根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25*25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方钢管，壁厚≥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18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厚通长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杉木或松木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板，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木带连接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，床板两面刨光，木材含水率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床垫为棕纤维弹性床垫（厚度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0mm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）。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床体全部金属部件除油除锈后喷塑处理，配优质尼龙套脚。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6B608E">
        <w:trPr>
          <w:trHeight w:val="270"/>
        </w:trPr>
        <w:tc>
          <w:tcPr>
            <w:tcW w:w="64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6B608E" w:rsidRDefault="006B608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双层床</w:t>
            </w:r>
          </w:p>
        </w:tc>
        <w:tc>
          <w:tcPr>
            <w:tcW w:w="567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6B608E" w:rsidRDefault="006E0AD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900*2000*2100</w:t>
            </w:r>
          </w:p>
        </w:tc>
        <w:tc>
          <w:tcPr>
            <w:tcW w:w="5724" w:type="dxa"/>
            <w:vAlign w:val="center"/>
          </w:tcPr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床腿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根，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40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见方，钢管壁厚≥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床望（上床、下床各二长边）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30*60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矩形钢管，壁厚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床带五根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25*25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方钢管，壁厚≥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床梯，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25*25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方钢管，壁厚≥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，带防滑钢制脚踏板，表面冲压防滑纹。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每层床头设双层书架各一个，书架两侧上端为圆弧状，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15*15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方钢管焊接，壁厚≥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；书架搁板采用优质一级冷轧钢板，厚度≥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，有加强筋。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护栏：缺口长≤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；护栏高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下层床铺下两端各设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钢制贮物柜，带明锁扣，柜顶部与床架固定连接。采用优质一级冷轧钢板，壁厚≥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0.8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柜宽</w:t>
            </w:r>
            <w:proofErr w:type="gramEnd"/>
            <w:r>
              <w:rPr>
                <w:rFonts w:asciiTheme="minorEastAsia" w:eastAsiaTheme="minorEastAsia" w:hAnsiTheme="minorEastAsia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柜深不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小于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双层鞋架：置于两贮物柜之间，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20*20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方钢管焊接，壁厚≥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蚊帐杆按常规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配做，高度可调，固定安全可靠。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床板采用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18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厚通长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松木实木板。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木带连接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，床板两面刨光，木材含水率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8%-12%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两层床板之间的层间净高≥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1050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6B608E" w:rsidRDefault="006E0AD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床体全部金属部件除油除锈后喷塑处理，配优质尼龙套脚。</w:t>
            </w:r>
          </w:p>
        </w:tc>
        <w:tc>
          <w:tcPr>
            <w:tcW w:w="1647" w:type="dxa"/>
            <w:vAlign w:val="center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608E" w:rsidRDefault="006B608E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6B608E" w:rsidRDefault="006E0AD1">
      <w:pPr>
        <w:numPr>
          <w:ilvl w:val="0"/>
          <w:numId w:val="4"/>
        </w:numPr>
        <w:spacing w:beforeLines="50" w:before="156" w:afterLines="50" w:after="156"/>
        <w:jc w:val="center"/>
        <w:outlineLvl w:val="1"/>
        <w:rPr>
          <w:rFonts w:ascii="宋体" w:hAnsi="宋体"/>
          <w:b/>
          <w:sz w:val="32"/>
          <w:szCs w:val="32"/>
        </w:rPr>
      </w:pPr>
      <w:bookmarkStart w:id="14" w:name="_Toc318187210"/>
      <w:r>
        <w:rPr>
          <w:rFonts w:ascii="宋体" w:hAnsi="宋体" w:hint="eastAsia"/>
          <w:b/>
          <w:sz w:val="32"/>
          <w:szCs w:val="32"/>
        </w:rPr>
        <w:lastRenderedPageBreak/>
        <w:t>服务要求</w:t>
      </w:r>
      <w:bookmarkEnd w:id="14"/>
    </w:p>
    <w:p w:rsidR="006B608E" w:rsidRDefault="006E0AD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3.1 </w:t>
      </w:r>
      <w:r>
        <w:rPr>
          <w:rFonts w:ascii="宋体" w:hAnsi="宋体" w:hint="eastAsia"/>
          <w:sz w:val="24"/>
        </w:rPr>
        <w:t>本次采购项目要求的最低售后服务标准为：三年三包、十年免费保修，质保期不得低于《中央行政单位通用办公家具配置标准表》中要求的最低使用年限。供应商为采购人提供的服务（包括供货、安装及售后服务）必须符合国家或行业相关标准。产品在三包期内，发生质量问题的经两次修理后仍出现质量问题时，供应商应无条件为采购人更换新的产品，如产品更换两次后仍出现质量问题时，供</w:t>
      </w:r>
      <w:r>
        <w:rPr>
          <w:rFonts w:ascii="宋体" w:hAnsi="宋体" w:hint="eastAsia"/>
          <w:sz w:val="24"/>
        </w:rPr>
        <w:lastRenderedPageBreak/>
        <w:t>应商应无条件退货，维修、更换、退货产生的费用均由供应商负责；产品三包期自产品经采购人验收合格并交付使用之日起计算。在家具保修期内，一旦家具发生质量问题，供应商应在接</w:t>
      </w:r>
      <w:r>
        <w:rPr>
          <w:rFonts w:ascii="宋体" w:hAnsi="宋体" w:hint="eastAsia"/>
          <w:sz w:val="24"/>
        </w:rPr>
        <w:t>到通知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小时内赶到现场进行修理，费用由供应商负责。</w:t>
      </w:r>
    </w:p>
    <w:p w:rsidR="006B608E" w:rsidRDefault="006E0AD1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3.2</w:t>
      </w:r>
      <w:r>
        <w:rPr>
          <w:rFonts w:ascii="宋体" w:hAnsi="宋体" w:hint="eastAsia"/>
          <w:sz w:val="24"/>
        </w:rPr>
        <w:t>交货时，供应商必须提供产品的技术资料，主要包括产品使用说明书，保养维护手册、三包凭证、备件清单及产品出厂合格证等。</w:t>
      </w:r>
    </w:p>
    <w:p w:rsidR="006B608E" w:rsidRDefault="006E0AD1">
      <w:pPr>
        <w:adjustRightInd w:val="0"/>
        <w:snapToGrid w:val="0"/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sz w:val="24"/>
        </w:rPr>
        <w:t>3.3</w:t>
      </w:r>
      <w:r>
        <w:rPr>
          <w:rFonts w:ascii="宋体" w:hAnsi="宋体" w:hint="eastAsia"/>
          <w:kern w:val="0"/>
          <w:sz w:val="24"/>
        </w:rPr>
        <w:t>有关产品“三包”标准，按国家有关规定执行。</w:t>
      </w:r>
    </w:p>
    <w:p w:rsidR="006B608E" w:rsidRDefault="006E0AD1">
      <w:pPr>
        <w:numPr>
          <w:ilvl w:val="0"/>
          <w:numId w:val="4"/>
        </w:numPr>
        <w:spacing w:beforeLines="50" w:before="156" w:afterLines="50" w:after="156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产品生产过程质量控制措施</w:t>
      </w:r>
    </w:p>
    <w:p w:rsidR="006B608E" w:rsidRDefault="006E0AD1" w:rsidP="006E0AD1">
      <w:pPr>
        <w:pStyle w:val="a9"/>
        <w:adjustRightInd w:val="0"/>
        <w:spacing w:line="360" w:lineRule="auto"/>
        <w:ind w:firstLineChars="177" w:firstLine="425"/>
        <w:jc w:val="lef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供应商与采购单位签订合同后，产品生产过程中，采购单位或其聘请的第三方有权到厂家就原辅料、五金件等选材与响应文件的一致性及生产进度等情况进行监督检查，检验和测试货物，以确认货物是否符合合同规格的要求，并且不承担额外的费用，供应商必须无条件配合甲方或其聘请的第三方</w:t>
      </w:r>
      <w:r>
        <w:rPr>
          <w:rFonts w:ascii="宋体" w:hAnsi="宋体" w:hint="eastAsia"/>
          <w:sz w:val="24"/>
        </w:rPr>
        <w:t>监理机构提出的检验和测试要求，并予以积极配合。</w:t>
      </w:r>
    </w:p>
    <w:p w:rsidR="006B608E" w:rsidRDefault="006E0AD1">
      <w:pPr>
        <w:numPr>
          <w:ilvl w:val="0"/>
          <w:numId w:val="4"/>
        </w:numPr>
        <w:spacing w:beforeLines="50" w:before="156" w:afterLines="50" w:after="156"/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成品验收方案</w:t>
      </w:r>
    </w:p>
    <w:p w:rsidR="006B608E" w:rsidRDefault="006E0AD1">
      <w:pPr>
        <w:spacing w:line="360" w:lineRule="auto"/>
        <w:rPr>
          <w:rFonts w:ascii="宋体" w:cs="宋体"/>
          <w:kern w:val="0"/>
          <w:sz w:val="36"/>
          <w:szCs w:val="36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采购人有权对产品进行发货前的检测</w:t>
      </w:r>
      <w:bookmarkStart w:id="15" w:name="_GoBack"/>
      <w:bookmarkEnd w:id="15"/>
      <w:r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4"/>
        </w:rPr>
        <w:t>应为采购人对产品检测提供方便。货物验收时，采购人有权提请第三方机构代为办理，随机抽取家具进行破坏性检验，检测费用由</w:t>
      </w: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4"/>
        </w:rPr>
        <w:t>承担，检测结果表明其指标不符合采购文件规定时，</w:t>
      </w: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4"/>
        </w:rPr>
        <w:t>必须无条件退货并承担因质量问题造成的全部损失。</w:t>
      </w: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4"/>
        </w:rPr>
        <w:t>须积极配合成品验收。</w:t>
      </w:r>
    </w:p>
    <w:p w:rsidR="006B608E" w:rsidRDefault="006B608E">
      <w:pPr>
        <w:adjustRightInd w:val="0"/>
        <w:snapToGrid w:val="0"/>
        <w:spacing w:line="360" w:lineRule="auto"/>
        <w:rPr>
          <w:rFonts w:ascii="宋体" w:hAnsi="宋体"/>
          <w:kern w:val="0"/>
          <w:sz w:val="24"/>
        </w:rPr>
      </w:pPr>
    </w:p>
    <w:p w:rsidR="006B608E" w:rsidRDefault="006B608E">
      <w:pPr>
        <w:rPr>
          <w:rFonts w:ascii="宋体" w:cs="宋体"/>
          <w:kern w:val="0"/>
          <w:sz w:val="36"/>
          <w:szCs w:val="36"/>
        </w:rPr>
      </w:pPr>
    </w:p>
    <w:p w:rsidR="006B608E" w:rsidRDefault="006B608E"/>
    <w:sectPr w:rsidR="006B608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948336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5665F"/>
    <w:multiLevelType w:val="multilevel"/>
    <w:tmpl w:val="30A5665F"/>
    <w:lvl w:ilvl="0">
      <w:start w:val="1"/>
      <w:numFmt w:val="decimal"/>
      <w:lvlText w:val="%1."/>
      <w:lvlJc w:val="left"/>
      <w:pPr>
        <w:tabs>
          <w:tab w:val="left" w:pos="705"/>
        </w:tabs>
        <w:ind w:left="705" w:hanging="600"/>
      </w:pPr>
    </w:lvl>
    <w:lvl w:ilvl="1">
      <w:start w:val="1"/>
      <w:numFmt w:val="decimal"/>
      <w:lvlText w:val="%1.%2"/>
      <w:lvlJc w:val="left"/>
      <w:pPr>
        <w:tabs>
          <w:tab w:val="left" w:pos="600"/>
        </w:tabs>
        <w:ind w:left="600" w:hanging="600"/>
      </w:pPr>
      <w:rPr>
        <w:rFonts w:ascii="宋体" w:eastAsia="宋体" w:hAnsi="宋体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ascii="宋体" w:eastAsia="宋体" w:hAnsi="宋体"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2160"/>
        </w:tabs>
        <w:ind w:left="2160" w:hanging="2160"/>
      </w:pPr>
    </w:lvl>
  </w:abstractNum>
  <w:abstractNum w:abstractNumId="1">
    <w:nsid w:val="30BD7F50"/>
    <w:multiLevelType w:val="multilevel"/>
    <w:tmpl w:val="30BD7F50"/>
    <w:lvl w:ilvl="0">
      <w:start w:val="2"/>
      <w:numFmt w:val="japaneseCounting"/>
      <w:lvlText w:val="%1、"/>
      <w:lvlJc w:val="left"/>
      <w:pPr>
        <w:tabs>
          <w:tab w:val="left" w:pos="1140"/>
        </w:tabs>
        <w:ind w:left="114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7711D0B"/>
    <w:multiLevelType w:val="multilevel"/>
    <w:tmpl w:val="37711D0B"/>
    <w:lvl w:ilvl="0">
      <w:start w:val="1"/>
      <w:numFmt w:val="japaneseCounting"/>
      <w:lvlText w:val="（%1）"/>
      <w:lvlJc w:val="left"/>
      <w:pPr>
        <w:tabs>
          <w:tab w:val="left" w:pos="1430"/>
        </w:tabs>
        <w:ind w:left="143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20C153B"/>
    <w:multiLevelType w:val="multilevel"/>
    <w:tmpl w:val="420C153B"/>
    <w:lvl w:ilvl="0">
      <w:start w:val="1"/>
      <w:numFmt w:val="decimal"/>
      <w:pStyle w:val="1"/>
      <w:lvlText w:val="%1."/>
      <w:lvlJc w:val="left"/>
      <w:pPr>
        <w:tabs>
          <w:tab w:val="left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</w:lvl>
    <w:lvl w:ilvl="2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13"/>
    <w:rsid w:val="00000803"/>
    <w:rsid w:val="00001F8D"/>
    <w:rsid w:val="0008125A"/>
    <w:rsid w:val="0015337F"/>
    <w:rsid w:val="001651C0"/>
    <w:rsid w:val="00280A89"/>
    <w:rsid w:val="002816B5"/>
    <w:rsid w:val="003345EF"/>
    <w:rsid w:val="004239C3"/>
    <w:rsid w:val="00430D90"/>
    <w:rsid w:val="00525A8C"/>
    <w:rsid w:val="0055031D"/>
    <w:rsid w:val="00575848"/>
    <w:rsid w:val="00587420"/>
    <w:rsid w:val="0059259B"/>
    <w:rsid w:val="00594987"/>
    <w:rsid w:val="00650CC6"/>
    <w:rsid w:val="006B608E"/>
    <w:rsid w:val="006E0AD1"/>
    <w:rsid w:val="006E5E0F"/>
    <w:rsid w:val="008166DE"/>
    <w:rsid w:val="0088789C"/>
    <w:rsid w:val="008A264B"/>
    <w:rsid w:val="00975558"/>
    <w:rsid w:val="00975610"/>
    <w:rsid w:val="009777A8"/>
    <w:rsid w:val="009A4F13"/>
    <w:rsid w:val="00AD2BD7"/>
    <w:rsid w:val="00B360C8"/>
    <w:rsid w:val="00BC3AFC"/>
    <w:rsid w:val="00D333CF"/>
    <w:rsid w:val="00E0132B"/>
    <w:rsid w:val="00E91087"/>
    <w:rsid w:val="00EB0513"/>
    <w:rsid w:val="00F200CD"/>
    <w:rsid w:val="00FA27C5"/>
    <w:rsid w:val="00FE598B"/>
    <w:rsid w:val="1238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uiPriority w:val="99"/>
    <w:semiHidden/>
    <w:qFormat/>
    <w:rPr>
      <w:rFonts w:cs="Times New Roman"/>
      <w:color w:val="800080"/>
      <w:u w:val="single"/>
    </w:rPr>
  </w:style>
  <w:style w:type="character" w:styleId="a7">
    <w:name w:val="Hyperlink"/>
    <w:uiPriority w:val="99"/>
    <w:semiHidden/>
    <w:qFormat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6">
    <w:name w:val="font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uiPriority w:val="9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4">
    <w:name w:val="xl64"/>
    <w:basedOn w:val="a"/>
    <w:uiPriority w:val="99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68">
    <w:name w:val="xl68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uiPriority w:val="9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3">
    <w:name w:val="xl73"/>
    <w:basedOn w:val="a"/>
    <w:uiPriority w:val="99"/>
    <w:qFormat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uiPriority w:val="99"/>
    <w:qFormat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uiPriority w:val="9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uiPriority w:val="99"/>
    <w:pPr>
      <w:widowControl/>
      <w:pBdr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91">
    <w:name w:val="xl91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92">
    <w:name w:val="xl92"/>
    <w:basedOn w:val="a"/>
    <w:uiPriority w:val="9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6">
    <w:name w:val="xl96"/>
    <w:basedOn w:val="a"/>
    <w:uiPriority w:val="9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1">
    <w:name w:val="xl101"/>
    <w:basedOn w:val="a"/>
    <w:uiPriority w:val="99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8">
    <w:name w:val="xl108"/>
    <w:basedOn w:val="a"/>
    <w:uiPriority w:val="99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9">
    <w:name w:val="xl109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0">
    <w:name w:val="xl110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1">
    <w:name w:val="xl111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">
    <w:name w:val="样式1"/>
    <w:basedOn w:val="a"/>
    <w:uiPriority w:val="99"/>
    <w:qFormat/>
    <w:pPr>
      <w:numPr>
        <w:numId w:val="1"/>
      </w:numPr>
      <w:adjustRightInd w:val="0"/>
    </w:pPr>
    <w:rPr>
      <w:rFonts w:ascii="宋体" w:hAnsi="宋体"/>
      <w:kern w:val="0"/>
      <w:szCs w:val="21"/>
    </w:rPr>
  </w:style>
  <w:style w:type="paragraph" w:styleId="a9">
    <w:name w:val="List Paragraph"/>
    <w:basedOn w:val="a"/>
    <w:uiPriority w:val="34"/>
    <w:unhideWhenUsed/>
    <w:qFormat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b">
    <w:name w:val="Balloon Text"/>
    <w:basedOn w:val="a"/>
    <w:link w:val="Char1"/>
    <w:uiPriority w:val="99"/>
    <w:semiHidden/>
    <w:unhideWhenUsed/>
    <w:rsid w:val="006E0AD1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6E0AD1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uiPriority w:val="99"/>
    <w:semiHidden/>
    <w:qFormat/>
    <w:rPr>
      <w:rFonts w:cs="Times New Roman"/>
      <w:color w:val="800080"/>
      <w:u w:val="single"/>
    </w:rPr>
  </w:style>
  <w:style w:type="character" w:styleId="a7">
    <w:name w:val="Hyperlink"/>
    <w:uiPriority w:val="99"/>
    <w:semiHidden/>
    <w:qFormat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</w:rPr>
  </w:style>
  <w:style w:type="paragraph" w:customStyle="1" w:styleId="font6">
    <w:name w:val="font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uiPriority w:val="9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4">
    <w:name w:val="xl64"/>
    <w:basedOn w:val="a"/>
    <w:uiPriority w:val="99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68">
    <w:name w:val="xl68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uiPriority w:val="9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3">
    <w:name w:val="xl73"/>
    <w:basedOn w:val="a"/>
    <w:uiPriority w:val="99"/>
    <w:qFormat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uiPriority w:val="99"/>
    <w:qFormat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uiPriority w:val="9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uiPriority w:val="9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uiPriority w:val="99"/>
    <w:pPr>
      <w:widowControl/>
      <w:pBdr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91">
    <w:name w:val="xl91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xl92">
    <w:name w:val="xl92"/>
    <w:basedOn w:val="a"/>
    <w:uiPriority w:val="9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6">
    <w:name w:val="xl96"/>
    <w:basedOn w:val="a"/>
    <w:uiPriority w:val="9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uiPriority w:val="99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uiPriority w:val="9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1">
    <w:name w:val="xl101"/>
    <w:basedOn w:val="a"/>
    <w:uiPriority w:val="99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8">
    <w:name w:val="xl108"/>
    <w:basedOn w:val="a"/>
    <w:uiPriority w:val="99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109">
    <w:name w:val="xl109"/>
    <w:basedOn w:val="a"/>
    <w:uiPriority w:val="99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0">
    <w:name w:val="xl110"/>
    <w:basedOn w:val="a"/>
    <w:uiPriority w:val="99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1">
    <w:name w:val="xl111"/>
    <w:basedOn w:val="a"/>
    <w:uiPriority w:val="99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">
    <w:name w:val="样式1"/>
    <w:basedOn w:val="a"/>
    <w:uiPriority w:val="99"/>
    <w:qFormat/>
    <w:pPr>
      <w:numPr>
        <w:numId w:val="1"/>
      </w:numPr>
      <w:adjustRightInd w:val="0"/>
    </w:pPr>
    <w:rPr>
      <w:rFonts w:ascii="宋体" w:hAnsi="宋体"/>
      <w:kern w:val="0"/>
      <w:szCs w:val="21"/>
    </w:rPr>
  </w:style>
  <w:style w:type="paragraph" w:styleId="a9">
    <w:name w:val="List Paragraph"/>
    <w:basedOn w:val="a"/>
    <w:uiPriority w:val="34"/>
    <w:unhideWhenUsed/>
    <w:qFormat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b">
    <w:name w:val="Balloon Text"/>
    <w:basedOn w:val="a"/>
    <w:link w:val="Char1"/>
    <w:uiPriority w:val="99"/>
    <w:semiHidden/>
    <w:unhideWhenUsed/>
    <w:rsid w:val="006E0AD1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6E0AD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26</Pages>
  <Words>2076</Words>
  <Characters>11834</Characters>
  <Application>Microsoft Office Word</Application>
  <DocSecurity>0</DocSecurity>
  <Lines>98</Lines>
  <Paragraphs>27</Paragraphs>
  <ScaleCrop>false</ScaleCrop>
  <Company>Microsoft</Company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13</cp:revision>
  <dcterms:created xsi:type="dcterms:W3CDTF">2019-04-30T07:35:00Z</dcterms:created>
  <dcterms:modified xsi:type="dcterms:W3CDTF">2019-06-05T07:01:00Z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