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F3C" w:rsidRPr="009237E4" w:rsidRDefault="00FD3F3C" w:rsidP="00FD3F3C">
      <w:pPr>
        <w:adjustRightInd w:val="0"/>
        <w:snapToGrid w:val="0"/>
        <w:spacing w:line="336" w:lineRule="auto"/>
        <w:jc w:val="center"/>
        <w:rPr>
          <w:rFonts w:ascii="黑体" w:eastAsia="黑体" w:hAnsi="黑体" w:cs="Times New Roman"/>
          <w:snapToGrid w:val="0"/>
          <w:kern w:val="0"/>
          <w:sz w:val="32"/>
          <w:szCs w:val="32"/>
        </w:rPr>
      </w:pPr>
      <w:r w:rsidRPr="009237E4">
        <w:rPr>
          <w:rFonts w:ascii="黑体" w:eastAsia="黑体" w:hAnsi="黑体" w:cs="Times New Roman" w:hint="eastAsia"/>
          <w:snapToGrid w:val="0"/>
          <w:kern w:val="0"/>
          <w:sz w:val="32"/>
          <w:szCs w:val="32"/>
        </w:rPr>
        <w:t>第1包</w:t>
      </w:r>
    </w:p>
    <w:p w:rsidR="00FD3F3C" w:rsidRPr="009237E4" w:rsidRDefault="00612220" w:rsidP="00612220">
      <w:pPr>
        <w:spacing w:line="360" w:lineRule="auto"/>
        <w:ind w:firstLine="480"/>
        <w:jc w:val="left"/>
        <w:rPr>
          <w:rFonts w:ascii="宋体" w:eastAsia="宋体" w:hAnsi="宋体" w:cs="Times New Roman"/>
          <w:sz w:val="24"/>
        </w:rPr>
      </w:pPr>
      <w:r w:rsidRPr="009237E4">
        <w:rPr>
          <w:rFonts w:ascii="宋体" w:hAnsi="宋体" w:hint="eastAsia"/>
          <w:sz w:val="24"/>
        </w:rPr>
        <w:t>“</w:t>
      </w:r>
      <w:r w:rsidRPr="009237E4">
        <w:rPr>
          <w:rFonts w:ascii="宋体" w:hAnsi="宋体" w:hint="eastAsia"/>
        </w:rPr>
        <w:t>*</w:t>
      </w:r>
      <w:r w:rsidRPr="009237E4">
        <w:rPr>
          <w:rFonts w:ascii="宋体" w:hAnsi="宋体"/>
          <w:sz w:val="24"/>
        </w:rPr>
        <w:t>”</w:t>
      </w:r>
      <w:r w:rsidRPr="009237E4">
        <w:rPr>
          <w:rFonts w:ascii="宋体" w:hAnsi="宋体" w:hint="eastAsia"/>
          <w:sz w:val="24"/>
        </w:rPr>
        <w:t>号</w:t>
      </w:r>
      <w:r w:rsidRPr="009237E4">
        <w:rPr>
          <w:rFonts w:ascii="宋体" w:hAnsi="宋体"/>
          <w:sz w:val="24"/>
        </w:rPr>
        <w:t>为</w:t>
      </w:r>
      <w:r w:rsidRPr="009237E4">
        <w:rPr>
          <w:rFonts w:ascii="宋体" w:hAnsi="宋体" w:hint="eastAsia"/>
          <w:sz w:val="24"/>
        </w:rPr>
        <w:t>关键</w:t>
      </w:r>
      <w:r w:rsidRPr="009237E4">
        <w:rPr>
          <w:rFonts w:ascii="宋体" w:hAnsi="宋体"/>
          <w:sz w:val="24"/>
        </w:rPr>
        <w:t>技术指标</w:t>
      </w:r>
      <w:r w:rsidRPr="009237E4">
        <w:rPr>
          <w:rFonts w:ascii="宋体" w:hAnsi="宋体" w:hint="eastAsia"/>
          <w:sz w:val="24"/>
        </w:rPr>
        <w:t>，不满足投标将被拒绝</w:t>
      </w:r>
    </w:p>
    <w:p w:rsidR="00FD3F3C" w:rsidRPr="009237E4" w:rsidRDefault="00FD3F3C" w:rsidP="00FD3F3C">
      <w:pPr>
        <w:adjustRightInd w:val="0"/>
        <w:snapToGrid w:val="0"/>
        <w:spacing w:line="336" w:lineRule="auto"/>
        <w:outlineLvl w:val="1"/>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1. 基本要求</w:t>
      </w:r>
    </w:p>
    <w:p w:rsidR="00FD3F3C" w:rsidRPr="009237E4" w:rsidRDefault="00FD3F3C" w:rsidP="00FD3F3C">
      <w:pPr>
        <w:adjustRightInd w:val="0"/>
        <w:snapToGrid w:val="0"/>
        <w:spacing w:line="336" w:lineRule="auto"/>
        <w:ind w:firstLine="42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*(1) 投标人IDC中心需提供</w:t>
      </w:r>
      <w:r w:rsidR="00B16BA8" w:rsidRPr="009237E4">
        <w:rPr>
          <w:rFonts w:asciiTheme="minorEastAsia" w:hAnsiTheme="minorEastAsia" w:cs="Times New Roman" w:hint="eastAsia"/>
          <w:snapToGrid w:val="0"/>
          <w:kern w:val="0"/>
          <w:sz w:val="24"/>
          <w:szCs w:val="24"/>
        </w:rPr>
        <w:t>300</w:t>
      </w:r>
      <w:r w:rsidRPr="009237E4">
        <w:rPr>
          <w:rFonts w:asciiTheme="minorEastAsia" w:hAnsiTheme="minorEastAsia" w:cs="Times New Roman" w:hint="eastAsia"/>
          <w:snapToGrid w:val="0"/>
          <w:kern w:val="0"/>
          <w:sz w:val="24"/>
          <w:szCs w:val="24"/>
        </w:rPr>
        <w:t>M独享IDC带宽。</w:t>
      </w:r>
    </w:p>
    <w:p w:rsidR="00FD3F3C" w:rsidRPr="009237E4" w:rsidRDefault="00FD3F3C" w:rsidP="00FD3F3C">
      <w:pPr>
        <w:adjustRightInd w:val="0"/>
        <w:snapToGrid w:val="0"/>
        <w:spacing w:line="336" w:lineRule="auto"/>
        <w:ind w:firstLine="42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 xml:space="preserve">*(2) </w:t>
      </w:r>
      <w:r w:rsidRPr="009237E4">
        <w:rPr>
          <w:rFonts w:asciiTheme="minorEastAsia" w:hAnsiTheme="minorEastAsia" w:cs="Arial" w:hint="eastAsia"/>
          <w:snapToGrid w:val="0"/>
          <w:kern w:val="0"/>
          <w:sz w:val="24"/>
          <w:szCs w:val="24"/>
        </w:rPr>
        <w:t>投标人提供上联核心网络设备须具备双</w:t>
      </w:r>
      <w:proofErr w:type="gramStart"/>
      <w:r w:rsidRPr="009237E4">
        <w:rPr>
          <w:rFonts w:asciiTheme="minorEastAsia" w:hAnsiTheme="minorEastAsia" w:cs="Arial" w:hint="eastAsia"/>
          <w:snapToGrid w:val="0"/>
          <w:kern w:val="0"/>
          <w:sz w:val="24"/>
          <w:szCs w:val="24"/>
        </w:rPr>
        <w:t>路热备</w:t>
      </w:r>
      <w:proofErr w:type="gramEnd"/>
      <w:r w:rsidRPr="009237E4">
        <w:rPr>
          <w:rFonts w:asciiTheme="minorEastAsia" w:hAnsiTheme="minorEastAsia" w:cs="Arial" w:hint="eastAsia"/>
          <w:snapToGrid w:val="0"/>
          <w:kern w:val="0"/>
          <w:sz w:val="24"/>
          <w:szCs w:val="24"/>
        </w:rPr>
        <w:t>冗余。</w:t>
      </w:r>
    </w:p>
    <w:p w:rsidR="00FD3F3C" w:rsidRPr="009237E4" w:rsidRDefault="00FD3F3C" w:rsidP="00FD3F3C">
      <w:pPr>
        <w:adjustRightInd w:val="0"/>
        <w:snapToGrid w:val="0"/>
        <w:spacing w:line="336" w:lineRule="auto"/>
        <w:ind w:firstLine="42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*(3) 投标人提供北京地区</w:t>
      </w:r>
      <w:r w:rsidR="00B16BA8" w:rsidRPr="009237E4">
        <w:rPr>
          <w:rFonts w:asciiTheme="minorEastAsia" w:hAnsiTheme="minorEastAsia" w:cs="Times New Roman" w:hint="eastAsia"/>
          <w:snapToGrid w:val="0"/>
          <w:kern w:val="0"/>
          <w:sz w:val="24"/>
          <w:szCs w:val="24"/>
        </w:rPr>
        <w:t>12</w:t>
      </w:r>
      <w:r w:rsidRPr="009237E4">
        <w:rPr>
          <w:rFonts w:asciiTheme="minorEastAsia" w:hAnsiTheme="minorEastAsia" w:cs="Times New Roman" w:hint="eastAsia"/>
          <w:snapToGrid w:val="0"/>
          <w:kern w:val="0"/>
          <w:sz w:val="24"/>
          <w:szCs w:val="24"/>
        </w:rPr>
        <w:t>个标准机柜，每个机柜供电≥10A。</w:t>
      </w:r>
    </w:p>
    <w:p w:rsidR="00FD3F3C" w:rsidRPr="009237E4" w:rsidRDefault="00FD3F3C" w:rsidP="00FD3F3C">
      <w:pPr>
        <w:adjustRightInd w:val="0"/>
        <w:snapToGrid w:val="0"/>
        <w:spacing w:line="336" w:lineRule="auto"/>
        <w:ind w:firstLine="42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*(4) 提供</w:t>
      </w:r>
      <w:r w:rsidR="005D2BD7" w:rsidRPr="009237E4">
        <w:rPr>
          <w:rFonts w:asciiTheme="minorEastAsia" w:hAnsiTheme="minorEastAsia" w:cs="Times New Roman" w:hint="eastAsia"/>
          <w:snapToGrid w:val="0"/>
          <w:kern w:val="0"/>
          <w:sz w:val="24"/>
          <w:szCs w:val="24"/>
        </w:rPr>
        <w:t>光明日报社</w:t>
      </w:r>
      <w:r w:rsidRPr="009237E4">
        <w:rPr>
          <w:rFonts w:asciiTheme="minorEastAsia" w:hAnsiTheme="minorEastAsia" w:cs="Times New Roman" w:hint="eastAsia"/>
          <w:snapToGrid w:val="0"/>
          <w:kern w:val="0"/>
          <w:sz w:val="24"/>
          <w:szCs w:val="24"/>
        </w:rPr>
        <w:t>至IDC机房一条裸光纤连接。</w:t>
      </w:r>
    </w:p>
    <w:p w:rsidR="00FD3F3C" w:rsidRPr="009237E4" w:rsidRDefault="00FD3F3C" w:rsidP="00FD3F3C">
      <w:pPr>
        <w:adjustRightInd w:val="0"/>
        <w:snapToGrid w:val="0"/>
        <w:spacing w:line="336" w:lineRule="auto"/>
        <w:ind w:firstLine="42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(5) 带宽质量优异，具有较好的与基础运营商的网络连通速度，无瓶颈。</w:t>
      </w:r>
    </w:p>
    <w:p w:rsidR="00FD3F3C" w:rsidRPr="009237E4" w:rsidRDefault="00FD3F3C" w:rsidP="00FD3F3C">
      <w:pPr>
        <w:adjustRightInd w:val="0"/>
        <w:snapToGrid w:val="0"/>
        <w:spacing w:line="336" w:lineRule="auto"/>
        <w:ind w:firstLine="42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(6) 服务期限1年。</w:t>
      </w:r>
    </w:p>
    <w:p w:rsidR="00FD3F3C" w:rsidRPr="009237E4" w:rsidRDefault="00FD3F3C" w:rsidP="00FD3F3C">
      <w:pPr>
        <w:numPr>
          <w:ilvl w:val="0"/>
          <w:numId w:val="1"/>
        </w:numPr>
        <w:adjustRightInd w:val="0"/>
        <w:snapToGrid w:val="0"/>
        <w:spacing w:line="336" w:lineRule="auto"/>
        <w:outlineLvl w:val="1"/>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技术要求</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机房要求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机房地理位置及环境优越，距离</w:t>
      </w:r>
      <w:r w:rsidRPr="009237E4">
        <w:rPr>
          <w:rFonts w:asciiTheme="minorEastAsia" w:hAnsiTheme="minorEastAsia" w:cs="Times New Roman"/>
          <w:snapToGrid w:val="0"/>
          <w:kern w:val="0"/>
          <w:sz w:val="24"/>
          <w:szCs w:val="24"/>
        </w:rPr>
        <w:t>光明</w:t>
      </w:r>
      <w:r w:rsidRPr="009237E4">
        <w:rPr>
          <w:rFonts w:asciiTheme="minorEastAsia" w:hAnsiTheme="minorEastAsia" w:cs="Times New Roman" w:hint="eastAsia"/>
          <w:snapToGrid w:val="0"/>
          <w:kern w:val="0"/>
          <w:sz w:val="24"/>
          <w:szCs w:val="24"/>
        </w:rPr>
        <w:t>日报社</w:t>
      </w:r>
      <w:r w:rsidRPr="009237E4">
        <w:rPr>
          <w:rFonts w:asciiTheme="minorEastAsia" w:hAnsiTheme="minorEastAsia" w:cs="Arial" w:hint="eastAsia"/>
          <w:snapToGrid w:val="0"/>
          <w:kern w:val="0"/>
          <w:sz w:val="24"/>
          <w:szCs w:val="24"/>
        </w:rPr>
        <w:t>机房不超过20公里，须提供具体百度地图中查询地址</w:t>
      </w:r>
      <w:r w:rsidRPr="009237E4">
        <w:rPr>
          <w:rFonts w:asciiTheme="minorEastAsia" w:hAnsiTheme="minorEastAsia" w:cs="Times New Roman" w:hint="eastAsia"/>
          <w:snapToGrid w:val="0"/>
          <w:kern w:val="0"/>
          <w:sz w:val="24"/>
          <w:szCs w:val="24"/>
        </w:rPr>
        <w:t>；</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拥有先进的IDC机房设施及充足的带宽资源；</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机房整体承重大于750公斤/平米，局部承重不低于800公斤/平米；</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有防静电设施或设备；</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具备基础运营商机房环境标准，或通过国际认证的Tier3以上IDC机房标准；</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具有单独的货梯，以保证客户设备的运输与安全；</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网络要求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要求网络结构安全冗余：设备冗余、链路冗余、端口冗余、路由冗余；</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接入网络不</w:t>
      </w:r>
      <w:r w:rsidR="00B16BA8" w:rsidRPr="009237E4">
        <w:rPr>
          <w:rFonts w:asciiTheme="minorEastAsia" w:hAnsiTheme="minorEastAsia" w:cs="Times New Roman" w:hint="eastAsia"/>
          <w:snapToGrid w:val="0"/>
          <w:kern w:val="0"/>
          <w:sz w:val="24"/>
          <w:szCs w:val="24"/>
        </w:rPr>
        <w:t>多</w:t>
      </w:r>
      <w:r w:rsidRPr="009237E4">
        <w:rPr>
          <w:rFonts w:asciiTheme="minorEastAsia" w:hAnsiTheme="minorEastAsia" w:cs="Times New Roman" w:hint="eastAsia"/>
          <w:snapToGrid w:val="0"/>
          <w:kern w:val="0"/>
          <w:sz w:val="24"/>
          <w:szCs w:val="24"/>
        </w:rPr>
        <w:t>于三跳</w:t>
      </w:r>
      <w:proofErr w:type="gramStart"/>
      <w:r w:rsidRPr="009237E4">
        <w:rPr>
          <w:rFonts w:asciiTheme="minorEastAsia" w:hAnsiTheme="minorEastAsia" w:cs="Times New Roman" w:hint="eastAsia"/>
          <w:snapToGrid w:val="0"/>
          <w:kern w:val="0"/>
          <w:sz w:val="24"/>
          <w:szCs w:val="24"/>
        </w:rPr>
        <w:t>至基础</w:t>
      </w:r>
      <w:proofErr w:type="gramEnd"/>
      <w:r w:rsidRPr="009237E4">
        <w:rPr>
          <w:rFonts w:asciiTheme="minorEastAsia" w:hAnsiTheme="minorEastAsia" w:cs="Times New Roman" w:hint="eastAsia"/>
          <w:snapToGrid w:val="0"/>
          <w:kern w:val="0"/>
          <w:sz w:val="24"/>
          <w:szCs w:val="24"/>
        </w:rPr>
        <w:t>运营商核心网络，99.9%的网络连通性保证；</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可根据需求对网络进行路由优化；</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机柜要求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提供不低于4</w:t>
      </w:r>
      <w:r w:rsidR="00B16BA8" w:rsidRPr="009237E4">
        <w:rPr>
          <w:rFonts w:asciiTheme="minorEastAsia" w:hAnsiTheme="minorEastAsia" w:cs="Times New Roman" w:hint="eastAsia"/>
          <w:snapToGrid w:val="0"/>
          <w:kern w:val="0"/>
          <w:sz w:val="24"/>
          <w:szCs w:val="24"/>
        </w:rPr>
        <w:t>2</w:t>
      </w:r>
      <w:r w:rsidRPr="009237E4">
        <w:rPr>
          <w:rFonts w:asciiTheme="minorEastAsia" w:hAnsiTheme="minorEastAsia" w:cs="Times New Roman" w:hint="eastAsia"/>
          <w:snapToGrid w:val="0"/>
          <w:kern w:val="0"/>
          <w:sz w:val="24"/>
          <w:szCs w:val="24"/>
        </w:rPr>
        <w:t>U的标准机柜，可上标准服务器导轨及按需求提供机柜托盘；</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每个机柜至少10个托盘，且能按需提供；</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Arial" w:hint="eastAsia"/>
          <w:snapToGrid w:val="0"/>
          <w:kern w:val="0"/>
          <w:sz w:val="24"/>
          <w:szCs w:val="24"/>
        </w:rPr>
        <w:t>机柜具有独享</w:t>
      </w:r>
      <w:proofErr w:type="gramStart"/>
      <w:r w:rsidRPr="009237E4">
        <w:rPr>
          <w:rFonts w:asciiTheme="minorEastAsia" w:hAnsiTheme="minorEastAsia" w:cs="Arial" w:hint="eastAsia"/>
          <w:snapToGrid w:val="0"/>
          <w:kern w:val="0"/>
          <w:sz w:val="24"/>
          <w:szCs w:val="24"/>
        </w:rPr>
        <w:t>封闭机</w:t>
      </w:r>
      <w:proofErr w:type="gramEnd"/>
      <w:r w:rsidRPr="009237E4">
        <w:rPr>
          <w:rFonts w:asciiTheme="minorEastAsia" w:hAnsiTheme="minorEastAsia" w:cs="Arial" w:hint="eastAsia"/>
          <w:snapToGrid w:val="0"/>
          <w:kern w:val="0"/>
          <w:sz w:val="24"/>
          <w:szCs w:val="24"/>
        </w:rPr>
        <w:t>笼或独立门锁；</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配电要求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每机柜双路UPS供电，总容量大于等于20A；</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机房供给双路独立的高压供电电源；</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lastRenderedPageBreak/>
        <w:t>备用应急电源采用柴油发电机组，保证后备供电时间不低于8小时；</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双路UPS部署，后备时间满负载不低于30分钟；</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保证可用性99.99%以上的持续供电率；</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空调要求</w:t>
      </w:r>
    </w:p>
    <w:p w:rsidR="00FD3F3C" w:rsidRPr="009237E4" w:rsidRDefault="00B16BA8" w:rsidP="00B16BA8">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温度需保持在21℃-26℃，湿度需保持在30-70%，</w:t>
      </w:r>
      <w:r w:rsidR="00FD3F3C" w:rsidRPr="009237E4">
        <w:rPr>
          <w:rFonts w:asciiTheme="minorEastAsia" w:hAnsiTheme="minorEastAsia" w:cs="Times New Roman" w:hint="eastAsia"/>
          <w:snapToGrid w:val="0"/>
          <w:kern w:val="0"/>
          <w:sz w:val="24"/>
          <w:szCs w:val="24"/>
        </w:rPr>
        <w:t>温度、湿度符合国家计算机场地技术标准，设备具备根据要求提高标准的能力；</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自动温湿度监控，自动报警；</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具备大容量的空调系统，N+1配置，保证所有机柜的通风散热要求；</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消防要求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有烟雾感应探测器及温度感应探测器；</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有火灾智能预警系统；</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具备环保高效的管道式气体灭火系统；</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安全服务要求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监控系统7×24小时进行全方位机房监控、录像；监控历史数据保留至少3个月；</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防止任何无关人员进入，保证机房空间的私密性；</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监控要求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有集中监控系统，可对机房内的温度、湿度、电力等情况进行全面检测；</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对网络连接状况实时监测及告警；</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对机房网络和点对点专线进行7×24小时的监控与服务；</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提供7×24小时的安全管理与视频监控服务，视频资料至少保存3个月；</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故障处理要求</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明确故障响应和故障解决的时间。如果服务出现故障，在规定的故障解决时间内解决故障，并向客户提交事故报告；</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对电力供应及网络连接等发生的意外情况紧急寻呼告警，并以最快速度排除故障；</w:t>
      </w:r>
    </w:p>
    <w:p w:rsidR="00FD3F3C" w:rsidRPr="009237E4" w:rsidRDefault="00FD3F3C" w:rsidP="00FD3F3C">
      <w:pPr>
        <w:numPr>
          <w:ilvl w:val="2"/>
          <w:numId w:val="1"/>
        </w:numPr>
        <w:adjustRightInd w:val="0"/>
        <w:snapToGrid w:val="0"/>
        <w:spacing w:line="336" w:lineRule="auto"/>
        <w:ind w:leftChars="200" w:left="900" w:hangingChars="200" w:hanging="480"/>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提供7×24小时的客户服务。</w:t>
      </w:r>
    </w:p>
    <w:p w:rsidR="00FD3F3C" w:rsidRPr="009237E4" w:rsidRDefault="00FD3F3C" w:rsidP="00FD3F3C">
      <w:pPr>
        <w:numPr>
          <w:ilvl w:val="1"/>
          <w:numId w:val="1"/>
        </w:numPr>
        <w:adjustRightInd w:val="0"/>
        <w:snapToGrid w:val="0"/>
        <w:spacing w:line="336" w:lineRule="auto"/>
        <w:outlineLvl w:val="2"/>
        <w:rPr>
          <w:rFonts w:asciiTheme="minorEastAsia" w:hAnsiTheme="minorEastAsia" w:cs="Times New Roman"/>
          <w:snapToGrid w:val="0"/>
          <w:kern w:val="0"/>
          <w:sz w:val="24"/>
          <w:szCs w:val="24"/>
        </w:rPr>
      </w:pPr>
      <w:r w:rsidRPr="009237E4">
        <w:rPr>
          <w:rFonts w:asciiTheme="minorEastAsia" w:hAnsiTheme="minorEastAsia" w:cs="Times New Roman" w:hint="eastAsia"/>
          <w:snapToGrid w:val="0"/>
          <w:kern w:val="0"/>
          <w:sz w:val="24"/>
          <w:szCs w:val="24"/>
        </w:rPr>
        <w:t>搬迁要求</w:t>
      </w:r>
    </w:p>
    <w:p w:rsidR="002C4E65" w:rsidRPr="009237E4" w:rsidRDefault="00FD3F3C" w:rsidP="00FD3F3C">
      <w:pPr>
        <w:adjustRightInd w:val="0"/>
        <w:snapToGrid w:val="0"/>
        <w:spacing w:line="336" w:lineRule="auto"/>
        <w:ind w:firstLine="420"/>
        <w:rPr>
          <w:rFonts w:asciiTheme="minorEastAsia" w:hAnsiTheme="minorEastAsia" w:cs="Times New Roman"/>
          <w:sz w:val="24"/>
          <w:szCs w:val="24"/>
        </w:rPr>
      </w:pPr>
      <w:r w:rsidRPr="009237E4">
        <w:rPr>
          <w:rFonts w:asciiTheme="minorEastAsia" w:hAnsiTheme="minorEastAsia" w:cs="Times New Roman" w:hint="eastAsia"/>
          <w:snapToGrid w:val="0"/>
          <w:kern w:val="0"/>
          <w:sz w:val="24"/>
          <w:szCs w:val="24"/>
        </w:rPr>
        <w:t>投标方需提供机房搬迁过程中涉及的实施方案、技术服务、网络资源及所有必须的设备、工具等。为尽可能减少甲方业务中断所造成的经济损失，投标方需在新的机房环境提供过渡期间使用的网络环境和设备环境，并提供过渡期间的所</w:t>
      </w:r>
      <w:r w:rsidRPr="009237E4">
        <w:rPr>
          <w:rFonts w:asciiTheme="minorEastAsia" w:hAnsiTheme="minorEastAsia" w:cs="Times New Roman" w:hint="eastAsia"/>
          <w:sz w:val="24"/>
          <w:szCs w:val="24"/>
        </w:rPr>
        <w:t>有技术服务。</w:t>
      </w:r>
    </w:p>
    <w:p w:rsidR="00FD3F3C" w:rsidRPr="009237E4" w:rsidRDefault="00FD3F3C" w:rsidP="00FD3F3C">
      <w:pPr>
        <w:jc w:val="center"/>
        <w:rPr>
          <w:rFonts w:ascii="黑体" w:eastAsia="黑体" w:hAnsi="黑体"/>
          <w:w w:val="80"/>
          <w:sz w:val="32"/>
          <w:szCs w:val="32"/>
        </w:rPr>
      </w:pPr>
      <w:r w:rsidRPr="009237E4">
        <w:rPr>
          <w:rFonts w:ascii="黑体" w:eastAsia="黑体" w:hAnsi="黑体" w:hint="eastAsia"/>
          <w:kern w:val="0"/>
          <w:sz w:val="32"/>
          <w:szCs w:val="32"/>
        </w:rPr>
        <w:lastRenderedPageBreak/>
        <w:t>第</w:t>
      </w:r>
      <w:r w:rsidR="00051C8E">
        <w:rPr>
          <w:rFonts w:ascii="黑体" w:eastAsia="黑体" w:hAnsi="黑体" w:hint="eastAsia"/>
          <w:kern w:val="0"/>
          <w:sz w:val="32"/>
          <w:szCs w:val="32"/>
        </w:rPr>
        <w:t>2</w:t>
      </w:r>
      <w:bookmarkStart w:id="0" w:name="_GoBack"/>
      <w:bookmarkEnd w:id="0"/>
      <w:r w:rsidRPr="009237E4">
        <w:rPr>
          <w:rFonts w:ascii="黑体" w:eastAsia="黑体" w:hAnsi="黑体" w:hint="eastAsia"/>
          <w:kern w:val="0"/>
          <w:sz w:val="32"/>
          <w:szCs w:val="32"/>
        </w:rPr>
        <w:t>包</w:t>
      </w:r>
    </w:p>
    <w:p w:rsidR="00FD3F3C" w:rsidRPr="009237E4" w:rsidRDefault="00612220" w:rsidP="00612220">
      <w:pPr>
        <w:spacing w:line="360" w:lineRule="auto"/>
        <w:ind w:firstLine="480"/>
        <w:jc w:val="left"/>
        <w:rPr>
          <w:rFonts w:ascii="宋体" w:eastAsia="宋体" w:hAnsi="宋体" w:cs="Times New Roman"/>
          <w:sz w:val="24"/>
        </w:rPr>
      </w:pPr>
      <w:r w:rsidRPr="009237E4">
        <w:rPr>
          <w:rFonts w:ascii="宋体" w:hAnsi="宋体" w:hint="eastAsia"/>
          <w:sz w:val="24"/>
        </w:rPr>
        <w:t>“</w:t>
      </w:r>
      <w:r w:rsidRPr="009237E4">
        <w:rPr>
          <w:rFonts w:ascii="宋体" w:hAnsi="宋体" w:hint="eastAsia"/>
        </w:rPr>
        <w:t>*</w:t>
      </w:r>
      <w:r w:rsidRPr="009237E4">
        <w:rPr>
          <w:rFonts w:ascii="宋体" w:hAnsi="宋体"/>
          <w:sz w:val="24"/>
        </w:rPr>
        <w:t>”</w:t>
      </w:r>
      <w:r w:rsidRPr="009237E4">
        <w:rPr>
          <w:rFonts w:ascii="宋体" w:hAnsi="宋体" w:hint="eastAsia"/>
          <w:sz w:val="24"/>
        </w:rPr>
        <w:t>号</w:t>
      </w:r>
      <w:r w:rsidRPr="009237E4">
        <w:rPr>
          <w:rFonts w:ascii="宋体" w:hAnsi="宋体"/>
          <w:sz w:val="24"/>
        </w:rPr>
        <w:t>为</w:t>
      </w:r>
      <w:r w:rsidRPr="009237E4">
        <w:rPr>
          <w:rFonts w:ascii="宋体" w:hAnsi="宋体" w:hint="eastAsia"/>
          <w:sz w:val="24"/>
        </w:rPr>
        <w:t>关键</w:t>
      </w:r>
      <w:r w:rsidRPr="009237E4">
        <w:rPr>
          <w:rFonts w:ascii="宋体" w:hAnsi="宋体"/>
          <w:sz w:val="24"/>
        </w:rPr>
        <w:t>技术指标</w:t>
      </w:r>
      <w:r w:rsidRPr="009237E4">
        <w:rPr>
          <w:rFonts w:ascii="宋体" w:hAnsi="宋体" w:hint="eastAsia"/>
          <w:sz w:val="24"/>
        </w:rPr>
        <w:t>，不满足投标将被拒绝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719"/>
        <w:gridCol w:w="6946"/>
      </w:tblGrid>
      <w:tr w:rsidR="009237E4" w:rsidRPr="009237E4" w:rsidTr="00B96848">
        <w:trPr>
          <w:cantSplit/>
          <w:trHeight w:val="20"/>
        </w:trPr>
        <w:tc>
          <w:tcPr>
            <w:tcW w:w="665" w:type="dxa"/>
            <w:shd w:val="clear" w:color="auto" w:fill="CCCCCC"/>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项目</w:t>
            </w:r>
          </w:p>
        </w:tc>
        <w:tc>
          <w:tcPr>
            <w:tcW w:w="719" w:type="dxa"/>
            <w:shd w:val="clear" w:color="auto" w:fill="CCCCCC"/>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序号</w:t>
            </w:r>
          </w:p>
        </w:tc>
        <w:tc>
          <w:tcPr>
            <w:tcW w:w="6946" w:type="dxa"/>
            <w:shd w:val="clear" w:color="auto" w:fill="CCCCCC"/>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招标要求</w:t>
            </w:r>
          </w:p>
        </w:tc>
      </w:tr>
      <w:tr w:rsidR="009237E4" w:rsidRPr="009237E4" w:rsidTr="00B96848">
        <w:trPr>
          <w:cantSplit/>
          <w:trHeight w:val="20"/>
        </w:trPr>
        <w:tc>
          <w:tcPr>
            <w:tcW w:w="665" w:type="dxa"/>
            <w:vMerge w:val="restart"/>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云平台</w:t>
            </w:r>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基本要求</w:t>
            </w: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有详细的云平台各项服务价格统计，且客户可根据需求自由选择服务项目</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服务级别；协议承诺级别达99.95%</w:t>
            </w:r>
            <w:r w:rsidRPr="009237E4">
              <w:rPr>
                <w:rFonts w:asciiTheme="majorEastAsia" w:eastAsiaTheme="majorEastAsia" w:hAnsiTheme="majorEastAsia" w:cstheme="minorEastAsia"/>
                <w:kern w:val="0"/>
                <w:szCs w:val="21"/>
              </w:rPr>
              <w:t xml:space="preserve"> </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可对所有</w:t>
            </w:r>
            <w:proofErr w:type="gramStart"/>
            <w:r w:rsidRPr="009237E4">
              <w:rPr>
                <w:rFonts w:asciiTheme="majorEastAsia" w:eastAsiaTheme="majorEastAsia" w:hAnsiTheme="majorEastAsia" w:cstheme="minorEastAsia" w:hint="eastAsia"/>
                <w:kern w:val="0"/>
                <w:szCs w:val="21"/>
              </w:rPr>
              <w:t>宕</w:t>
            </w:r>
            <w:proofErr w:type="gramEnd"/>
            <w:r w:rsidRPr="009237E4">
              <w:rPr>
                <w:rFonts w:asciiTheme="majorEastAsia" w:eastAsiaTheme="majorEastAsia" w:hAnsiTheme="majorEastAsia" w:cstheme="minorEastAsia" w:hint="eastAsia"/>
                <w:kern w:val="0"/>
                <w:szCs w:val="21"/>
              </w:rPr>
              <w:t>机时间都提供SLA；机房维护时间，受攻击等在保障范围内</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服务类型：提供</w:t>
            </w:r>
            <w:proofErr w:type="gramStart"/>
            <w:r w:rsidRPr="009237E4">
              <w:rPr>
                <w:rFonts w:asciiTheme="majorEastAsia" w:eastAsiaTheme="majorEastAsia" w:hAnsiTheme="majorEastAsia" w:cstheme="minorEastAsia" w:hint="eastAsia"/>
                <w:kern w:val="0"/>
                <w:szCs w:val="21"/>
              </w:rPr>
              <w:t>基于虚机托管</w:t>
            </w:r>
            <w:proofErr w:type="gramEnd"/>
            <w:r w:rsidRPr="009237E4">
              <w:rPr>
                <w:rFonts w:asciiTheme="majorEastAsia" w:eastAsiaTheme="majorEastAsia" w:hAnsiTheme="majorEastAsia" w:cstheme="minorEastAsia" w:hint="eastAsia"/>
                <w:kern w:val="0"/>
                <w:szCs w:val="21"/>
              </w:rPr>
              <w:t>的基础架构即服务（</w:t>
            </w:r>
            <w:proofErr w:type="spellStart"/>
            <w:r w:rsidRPr="009237E4">
              <w:rPr>
                <w:rFonts w:asciiTheme="majorEastAsia" w:eastAsiaTheme="majorEastAsia" w:hAnsiTheme="majorEastAsia" w:cstheme="minorEastAsia" w:hint="eastAsia"/>
                <w:kern w:val="0"/>
                <w:szCs w:val="21"/>
              </w:rPr>
              <w:t>IaaS</w:t>
            </w:r>
            <w:proofErr w:type="spellEnd"/>
            <w:r w:rsidRPr="009237E4">
              <w:rPr>
                <w:rFonts w:asciiTheme="majorEastAsia" w:eastAsiaTheme="majorEastAsia" w:hAnsiTheme="majorEastAsia" w:cstheme="minorEastAsia" w:hint="eastAsia"/>
                <w:kern w:val="0"/>
                <w:szCs w:val="21"/>
              </w:rPr>
              <w:t>）与应用托管的平台即服务（</w:t>
            </w:r>
            <w:proofErr w:type="spellStart"/>
            <w:r w:rsidRPr="009237E4">
              <w:rPr>
                <w:rFonts w:asciiTheme="majorEastAsia" w:eastAsiaTheme="majorEastAsia" w:hAnsiTheme="majorEastAsia" w:cstheme="minorEastAsia" w:hint="eastAsia"/>
                <w:kern w:val="0"/>
                <w:szCs w:val="21"/>
              </w:rPr>
              <w:t>PaaS</w:t>
            </w:r>
            <w:proofErr w:type="spellEnd"/>
            <w:r w:rsidRPr="009237E4">
              <w:rPr>
                <w:rFonts w:asciiTheme="majorEastAsia" w:eastAsiaTheme="majorEastAsia" w:hAnsiTheme="majorEastAsia" w:cstheme="minorEastAsia" w:hint="eastAsia"/>
                <w:kern w:val="0"/>
                <w:szCs w:val="21"/>
              </w:rPr>
              <w:t>），用户不需维护底层基础架构，只需应用开发，支持软件即服务（SaaS）</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*机房标准： T4标准机房，数据中心内万兆互联</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6</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要求异地容灾，异地机房数据中心间有专线数据同步，数据中心间必须有专线连接，具有异地容灾能力，提供高可靠高可用服务。</w:t>
            </w:r>
            <w:proofErr w:type="gramStart"/>
            <w:r w:rsidRPr="009237E4">
              <w:rPr>
                <w:rFonts w:asciiTheme="majorEastAsia" w:eastAsiaTheme="majorEastAsia" w:hAnsiTheme="majorEastAsia" w:cstheme="minorEastAsia" w:hint="eastAsia"/>
                <w:kern w:val="0"/>
                <w:szCs w:val="21"/>
              </w:rPr>
              <w:t>云服务</w:t>
            </w:r>
            <w:proofErr w:type="gramEnd"/>
            <w:r w:rsidRPr="009237E4">
              <w:rPr>
                <w:rFonts w:asciiTheme="majorEastAsia" w:eastAsiaTheme="majorEastAsia" w:hAnsiTheme="majorEastAsia" w:cstheme="minorEastAsia" w:hint="eastAsia"/>
                <w:kern w:val="0"/>
                <w:szCs w:val="21"/>
              </w:rPr>
              <w:t>商必须获得国家相关主管部门合法的运营资质</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7</w:t>
            </w:r>
          </w:p>
        </w:tc>
        <w:tc>
          <w:tcPr>
            <w:tcW w:w="6946" w:type="dxa"/>
            <w:shd w:val="clear" w:color="auto" w:fill="FFFFFF"/>
          </w:tcPr>
          <w:p w:rsidR="00656D75" w:rsidRPr="009237E4" w:rsidRDefault="00656D75" w:rsidP="00D3784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*互联网接入：要求多运营商接入，确保全国用户访问畅通；离主干</w:t>
            </w:r>
            <w:proofErr w:type="gramStart"/>
            <w:r w:rsidRPr="009237E4">
              <w:rPr>
                <w:rFonts w:asciiTheme="majorEastAsia" w:eastAsiaTheme="majorEastAsia" w:hAnsiTheme="majorEastAsia" w:cstheme="minorEastAsia" w:hint="eastAsia"/>
                <w:kern w:val="0"/>
                <w:szCs w:val="21"/>
              </w:rPr>
              <w:t>网跳数</w:t>
            </w:r>
            <w:proofErr w:type="gramEnd"/>
            <w:r w:rsidRPr="009237E4">
              <w:rPr>
                <w:rFonts w:asciiTheme="majorEastAsia" w:eastAsiaTheme="majorEastAsia" w:hAnsiTheme="majorEastAsia" w:cstheme="minorEastAsia" w:hint="eastAsia"/>
                <w:kern w:val="0"/>
                <w:szCs w:val="21"/>
              </w:rPr>
              <w:t>不超过2个</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8</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kern w:val="0"/>
                <w:szCs w:val="21"/>
              </w:rPr>
              <w:t>兼容性：认知服务 API 跨编程语言、跨硬件设备、</w:t>
            </w:r>
            <w:proofErr w:type="gramStart"/>
            <w:r w:rsidRPr="009237E4">
              <w:rPr>
                <w:rFonts w:asciiTheme="majorEastAsia" w:eastAsiaTheme="majorEastAsia" w:hAnsiTheme="majorEastAsia" w:cstheme="minorEastAsia"/>
                <w:kern w:val="0"/>
                <w:szCs w:val="21"/>
              </w:rPr>
              <w:t>跨软件</w:t>
            </w:r>
            <w:proofErr w:type="gramEnd"/>
            <w:r w:rsidRPr="009237E4">
              <w:rPr>
                <w:rFonts w:asciiTheme="majorEastAsia" w:eastAsiaTheme="majorEastAsia" w:hAnsiTheme="majorEastAsia" w:cstheme="minorEastAsia"/>
                <w:kern w:val="0"/>
                <w:szCs w:val="21"/>
              </w:rPr>
              <w:t>平台</w:t>
            </w:r>
            <w:r w:rsidRPr="009237E4">
              <w:rPr>
                <w:rFonts w:asciiTheme="majorEastAsia" w:eastAsiaTheme="majorEastAsia" w:hAnsiTheme="majorEastAsia" w:cstheme="minorEastAsia"/>
                <w:kern w:val="0"/>
                <w:szCs w:val="21"/>
              </w:rPr>
              <w:br/>
              <w:t>高扩展性：平滑升降级，同时支持自动化扩展缩放</w:t>
            </w:r>
            <w:r w:rsidRPr="009237E4">
              <w:rPr>
                <w:rFonts w:asciiTheme="majorEastAsia" w:eastAsiaTheme="majorEastAsia" w:hAnsiTheme="majorEastAsia" w:cstheme="minorEastAsia"/>
                <w:kern w:val="0"/>
                <w:szCs w:val="21"/>
              </w:rPr>
              <w:br/>
              <w:t>架构灵活：可根据需要选择认知服务的不同 API 或者自定义 API 服务</w:t>
            </w:r>
            <w:r w:rsidRPr="009237E4">
              <w:rPr>
                <w:rFonts w:asciiTheme="majorEastAsia" w:eastAsiaTheme="majorEastAsia" w:hAnsiTheme="majorEastAsia" w:cstheme="minorEastAsia"/>
                <w:kern w:val="0"/>
                <w:szCs w:val="21"/>
              </w:rPr>
              <w:br/>
              <w:t>快速搭建解决方案</w:t>
            </w:r>
            <w:r w:rsidRPr="009237E4">
              <w:rPr>
                <w:rFonts w:asciiTheme="majorEastAsia" w:eastAsiaTheme="majorEastAsia" w:hAnsiTheme="majorEastAsia" w:cstheme="minorEastAsia"/>
                <w:kern w:val="0"/>
                <w:szCs w:val="21"/>
              </w:rPr>
              <w:br/>
              <w:t>支持快速部署上线</w:t>
            </w:r>
            <w:r w:rsidRPr="009237E4">
              <w:rPr>
                <w:rFonts w:asciiTheme="majorEastAsia" w:eastAsiaTheme="majorEastAsia" w:hAnsiTheme="majorEastAsia" w:cstheme="minorEastAsia"/>
                <w:kern w:val="0"/>
                <w:szCs w:val="21"/>
              </w:rPr>
              <w:br/>
              <w:t>灵活弹性的成本控制</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9</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技术支持：提供免费技术支持服务，免费版本升级和专业的24x7x365售后服务专线支持等。提供丰富的在线文档和社区资源。提供明确的具有财务保障的服务级别协议</w:t>
            </w:r>
          </w:p>
        </w:tc>
      </w:tr>
      <w:tr w:rsidR="009237E4" w:rsidRPr="009237E4" w:rsidTr="00B96848">
        <w:trPr>
          <w:cantSplit/>
          <w:trHeight w:val="20"/>
        </w:trPr>
        <w:tc>
          <w:tcPr>
            <w:tcW w:w="665" w:type="dxa"/>
            <w:vMerge w:val="restart"/>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roofErr w:type="spellStart"/>
            <w:r w:rsidRPr="009237E4">
              <w:rPr>
                <w:rFonts w:asciiTheme="majorEastAsia" w:eastAsiaTheme="majorEastAsia" w:hAnsiTheme="majorEastAsia" w:cstheme="minorEastAsia" w:hint="eastAsia"/>
                <w:kern w:val="0"/>
                <w:szCs w:val="21"/>
              </w:rPr>
              <w:t>IaaS</w:t>
            </w:r>
            <w:proofErr w:type="spellEnd"/>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虚拟机</w:t>
            </w:r>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技术要求</w:t>
            </w: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p w:rsidR="00656D75" w:rsidRPr="009237E4" w:rsidRDefault="00656D75" w:rsidP="00B96848">
            <w:pPr>
              <w:adjustRightInd w:val="0"/>
              <w:snapToGrid w:val="0"/>
              <w:spacing w:after="200" w:line="360" w:lineRule="auto"/>
              <w:jc w:val="left"/>
              <w:rPr>
                <w:rFonts w:asciiTheme="majorEastAsia" w:eastAsiaTheme="majorEastAsia" w:hAnsiTheme="majorEastAsia" w:cstheme="minorEastAsia"/>
                <w:kern w:val="0"/>
                <w:szCs w:val="21"/>
              </w:rPr>
            </w:pP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具备提供身份标识与访问控制机制，能与企业内部身份管理机制集成，并能与第三方平台实现联合身份关联验证机制</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提供针对应用架构层级的负载均衡机制，如面向Internet的负载均衡和非面向Internet的内部层级负载均衡机制，并支持TCP和UDP的协议</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入侵检测和防护系统、拒绝服务攻击防护、定期渗透测试帮助识别内部和外部的潜在威胁并加以预防，具备流量清洗机制</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*操作系统和数据库：提供正版Windows Server 2012/2012 R2、 2008/2008 R2, Ubuntu，</w:t>
            </w:r>
            <w:proofErr w:type="spellStart"/>
            <w:r w:rsidRPr="009237E4">
              <w:rPr>
                <w:rFonts w:asciiTheme="majorEastAsia" w:eastAsiaTheme="majorEastAsia" w:hAnsiTheme="majorEastAsia" w:cstheme="minorEastAsia" w:hint="eastAsia"/>
                <w:kern w:val="0"/>
                <w:szCs w:val="21"/>
              </w:rPr>
              <w:t>CentOS</w:t>
            </w:r>
            <w:proofErr w:type="spellEnd"/>
            <w:r w:rsidRPr="009237E4">
              <w:rPr>
                <w:rFonts w:asciiTheme="majorEastAsia" w:eastAsiaTheme="majorEastAsia" w:hAnsiTheme="majorEastAsia" w:cstheme="minorEastAsia" w:hint="eastAsia"/>
                <w:kern w:val="0"/>
                <w:szCs w:val="21"/>
              </w:rPr>
              <w:t>，SUSE, SQL Server 2014/2012 SP1等</w:t>
            </w:r>
          </w:p>
          <w:p w:rsidR="00656D75" w:rsidRPr="009237E4" w:rsidRDefault="00656D75" w:rsidP="00B96848">
            <w:pPr>
              <w:adjustRightInd w:val="0"/>
              <w:snapToGrid w:val="0"/>
              <w:spacing w:after="200"/>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提供在线升级和版本切换</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proofErr w:type="gramStart"/>
            <w:r w:rsidRPr="009237E4">
              <w:rPr>
                <w:rFonts w:asciiTheme="majorEastAsia" w:eastAsiaTheme="majorEastAsia" w:hAnsiTheme="majorEastAsia" w:cstheme="minorEastAsia" w:hint="eastAsia"/>
                <w:kern w:val="0"/>
                <w:szCs w:val="21"/>
              </w:rPr>
              <w:t>虚机管理</w:t>
            </w:r>
            <w:proofErr w:type="gramEnd"/>
            <w:r w:rsidRPr="009237E4">
              <w:rPr>
                <w:rFonts w:asciiTheme="majorEastAsia" w:eastAsiaTheme="majorEastAsia" w:hAnsiTheme="majorEastAsia" w:cstheme="minorEastAsia" w:hint="eastAsia"/>
                <w:kern w:val="0"/>
                <w:szCs w:val="21"/>
              </w:rPr>
              <w:t>工具支持：支持网站界面、脚本工具和REST API等三种途径管理</w:t>
            </w:r>
            <w:proofErr w:type="gramStart"/>
            <w:r w:rsidRPr="009237E4">
              <w:rPr>
                <w:rFonts w:asciiTheme="majorEastAsia" w:eastAsiaTheme="majorEastAsia" w:hAnsiTheme="majorEastAsia" w:cstheme="minorEastAsia" w:hint="eastAsia"/>
                <w:kern w:val="0"/>
                <w:szCs w:val="21"/>
              </w:rPr>
              <w:t>配置虚机</w:t>
            </w:r>
            <w:proofErr w:type="gramEnd"/>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多种资源配置支持：提供多种CPU、内存、带宽等资源的组合，支持内存密集型的资源配置，CPU核数支持1～8个，内存支持高达56GB；</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支持磁盘条带化横向扩展，提供可并能在线添加或分离数据磁盘。虚拟机磁盘提供99.9%可用性。支持SSD存储</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操作系统映像管理：允许用户自定义映像和上传自己的操作系统映像</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6</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*迁移支持：支持虚拟机在用户数据中心和</w:t>
            </w:r>
            <w:proofErr w:type="gramStart"/>
            <w:r w:rsidRPr="009237E4">
              <w:rPr>
                <w:rFonts w:asciiTheme="majorEastAsia" w:eastAsiaTheme="majorEastAsia" w:hAnsiTheme="majorEastAsia" w:cstheme="minorEastAsia" w:hint="eastAsia"/>
                <w:kern w:val="0"/>
                <w:szCs w:val="21"/>
              </w:rPr>
              <w:t>公有云</w:t>
            </w:r>
            <w:proofErr w:type="gramEnd"/>
            <w:r w:rsidRPr="009237E4">
              <w:rPr>
                <w:rFonts w:asciiTheme="majorEastAsia" w:eastAsiaTheme="majorEastAsia" w:hAnsiTheme="majorEastAsia" w:cstheme="minorEastAsia" w:hint="eastAsia"/>
                <w:kern w:val="0"/>
                <w:szCs w:val="21"/>
              </w:rPr>
              <w:t>平台之间的迁移，</w:t>
            </w:r>
            <w:proofErr w:type="gramStart"/>
            <w:r w:rsidRPr="009237E4">
              <w:rPr>
                <w:rFonts w:asciiTheme="majorEastAsia" w:eastAsiaTheme="majorEastAsia" w:hAnsiTheme="majorEastAsia" w:cstheme="minorEastAsia" w:hint="eastAsia"/>
                <w:kern w:val="0"/>
                <w:szCs w:val="21"/>
              </w:rPr>
              <w:t>不</w:t>
            </w:r>
            <w:proofErr w:type="gramEnd"/>
            <w:r w:rsidRPr="009237E4">
              <w:rPr>
                <w:rFonts w:asciiTheme="majorEastAsia" w:eastAsiaTheme="majorEastAsia" w:hAnsiTheme="majorEastAsia" w:cstheme="minorEastAsia" w:hint="eastAsia"/>
                <w:kern w:val="0"/>
                <w:szCs w:val="21"/>
              </w:rPr>
              <w:t>绑定云平台，并提供官方迁移工具</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7</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proofErr w:type="gramStart"/>
            <w:r w:rsidRPr="009237E4">
              <w:rPr>
                <w:rFonts w:asciiTheme="majorEastAsia" w:eastAsiaTheme="majorEastAsia" w:hAnsiTheme="majorEastAsia" w:cstheme="minorEastAsia" w:hint="eastAsia"/>
                <w:kern w:val="0"/>
                <w:szCs w:val="21"/>
              </w:rPr>
              <w:t>虚机功能</w:t>
            </w:r>
            <w:proofErr w:type="gramEnd"/>
            <w:r w:rsidRPr="009237E4">
              <w:rPr>
                <w:rFonts w:asciiTheme="majorEastAsia" w:eastAsiaTheme="majorEastAsia" w:hAnsiTheme="majorEastAsia" w:cstheme="minorEastAsia" w:hint="eastAsia"/>
                <w:kern w:val="0"/>
                <w:szCs w:val="21"/>
              </w:rPr>
              <w:t>支持：可以实现</w:t>
            </w:r>
            <w:proofErr w:type="gramStart"/>
            <w:r w:rsidRPr="009237E4">
              <w:rPr>
                <w:rFonts w:asciiTheme="majorEastAsia" w:eastAsiaTheme="majorEastAsia" w:hAnsiTheme="majorEastAsia" w:cstheme="minorEastAsia" w:hint="eastAsia"/>
                <w:kern w:val="0"/>
                <w:szCs w:val="21"/>
              </w:rPr>
              <w:t>物理机</w:t>
            </w:r>
            <w:proofErr w:type="gramEnd"/>
            <w:r w:rsidRPr="009237E4">
              <w:rPr>
                <w:rFonts w:asciiTheme="majorEastAsia" w:eastAsiaTheme="majorEastAsia" w:hAnsiTheme="majorEastAsia" w:cstheme="minorEastAsia" w:hint="eastAsia"/>
                <w:kern w:val="0"/>
                <w:szCs w:val="21"/>
              </w:rPr>
              <w:t>的全部功能，虚机具有自己的资源（内存、CPU、网卡、存储），可以分配单独的IP地址等</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8</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监控管理：云平台提供内置性能监控功能，对资源中CPU、网络、磁盘使用率等指标进行实时数据统计，并提供丰富的扩展接口，实现服务级别的监控和预警</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9</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自动缩放支持：应提供</w:t>
            </w:r>
            <w:proofErr w:type="gramStart"/>
            <w:r w:rsidRPr="009237E4">
              <w:rPr>
                <w:rFonts w:asciiTheme="majorEastAsia" w:eastAsiaTheme="majorEastAsia" w:hAnsiTheme="majorEastAsia" w:cstheme="minorEastAsia" w:hint="eastAsia"/>
                <w:kern w:val="0"/>
                <w:szCs w:val="21"/>
              </w:rPr>
              <w:t>虚机横向</w:t>
            </w:r>
            <w:proofErr w:type="gramEnd"/>
            <w:r w:rsidRPr="009237E4">
              <w:rPr>
                <w:rFonts w:asciiTheme="majorEastAsia" w:eastAsiaTheme="majorEastAsia" w:hAnsiTheme="majorEastAsia" w:cstheme="minorEastAsia" w:hint="eastAsia"/>
                <w:kern w:val="0"/>
                <w:szCs w:val="21"/>
              </w:rPr>
              <w:t>缩放和纵向缩放功能，并可根据计划时间</w:t>
            </w:r>
            <w:proofErr w:type="gramStart"/>
            <w:r w:rsidRPr="009237E4">
              <w:rPr>
                <w:rFonts w:asciiTheme="majorEastAsia" w:eastAsiaTheme="majorEastAsia" w:hAnsiTheme="majorEastAsia" w:cstheme="minorEastAsia" w:hint="eastAsia"/>
                <w:kern w:val="0"/>
                <w:szCs w:val="21"/>
              </w:rPr>
              <w:t>和虚机</w:t>
            </w:r>
            <w:proofErr w:type="gramEnd"/>
            <w:r w:rsidRPr="009237E4">
              <w:rPr>
                <w:rFonts w:asciiTheme="majorEastAsia" w:eastAsiaTheme="majorEastAsia" w:hAnsiTheme="majorEastAsia" w:cstheme="minorEastAsia" w:hint="eastAsia"/>
                <w:kern w:val="0"/>
                <w:szCs w:val="21"/>
              </w:rPr>
              <w:t>CPU指标等参数进行自动缩放控制</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10</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为计算节点提供内置可用性集、负载均衡和故障恢复</w:t>
            </w:r>
          </w:p>
        </w:tc>
      </w:tr>
      <w:tr w:rsidR="009237E4" w:rsidRPr="009237E4" w:rsidTr="00B96848">
        <w:trPr>
          <w:cantSplit/>
          <w:trHeight w:val="20"/>
        </w:trPr>
        <w:tc>
          <w:tcPr>
            <w:tcW w:w="665" w:type="dxa"/>
            <w:vMerge w:val="restart"/>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roofErr w:type="spellStart"/>
            <w:r w:rsidRPr="009237E4">
              <w:rPr>
                <w:rFonts w:asciiTheme="majorEastAsia" w:eastAsiaTheme="majorEastAsia" w:hAnsiTheme="majorEastAsia" w:cstheme="minorEastAsia" w:hint="eastAsia"/>
                <w:kern w:val="0"/>
                <w:szCs w:val="21"/>
              </w:rPr>
              <w:t>IaaS</w:t>
            </w:r>
            <w:proofErr w:type="spellEnd"/>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虚拟网络</w:t>
            </w:r>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技术要求</w:t>
            </w: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网络功能支持：提供公共DNS服务，可</w:t>
            </w:r>
            <w:proofErr w:type="gramStart"/>
            <w:r w:rsidRPr="009237E4">
              <w:rPr>
                <w:rFonts w:asciiTheme="majorEastAsia" w:eastAsiaTheme="majorEastAsia" w:hAnsiTheme="majorEastAsia" w:cstheme="minorEastAsia" w:hint="eastAsia"/>
                <w:kern w:val="0"/>
                <w:szCs w:val="21"/>
              </w:rPr>
              <w:t>选择自</w:t>
            </w:r>
            <w:proofErr w:type="gramEnd"/>
            <w:r w:rsidRPr="009237E4">
              <w:rPr>
                <w:rFonts w:asciiTheme="majorEastAsia" w:eastAsiaTheme="majorEastAsia" w:hAnsiTheme="majorEastAsia" w:cstheme="minorEastAsia" w:hint="eastAsia"/>
                <w:kern w:val="0"/>
                <w:szCs w:val="21"/>
              </w:rPr>
              <w:t>建的DNS服务器；</w:t>
            </w:r>
            <w:proofErr w:type="gramStart"/>
            <w:r w:rsidRPr="009237E4">
              <w:rPr>
                <w:rFonts w:asciiTheme="majorEastAsia" w:eastAsiaTheme="majorEastAsia" w:hAnsiTheme="majorEastAsia" w:cstheme="minorEastAsia" w:hint="eastAsia"/>
                <w:kern w:val="0"/>
                <w:szCs w:val="21"/>
              </w:rPr>
              <w:t>允许虚机有</w:t>
            </w:r>
            <w:proofErr w:type="gramEnd"/>
            <w:r w:rsidRPr="009237E4">
              <w:rPr>
                <w:rFonts w:asciiTheme="majorEastAsia" w:eastAsiaTheme="majorEastAsia" w:hAnsiTheme="majorEastAsia" w:cstheme="minorEastAsia" w:hint="eastAsia"/>
                <w:kern w:val="0"/>
                <w:szCs w:val="21"/>
              </w:rPr>
              <w:t>独立的局域网IP地址和对外的公共IP地址；允许端口转发端点和自定义的负载均衡监控情况探测；支持</w:t>
            </w:r>
            <w:proofErr w:type="gramStart"/>
            <w:r w:rsidRPr="009237E4">
              <w:rPr>
                <w:rFonts w:asciiTheme="majorEastAsia" w:eastAsiaTheme="majorEastAsia" w:hAnsiTheme="majorEastAsia" w:cstheme="minorEastAsia" w:hint="eastAsia"/>
                <w:kern w:val="0"/>
                <w:szCs w:val="21"/>
              </w:rPr>
              <w:t>虚机对虚机</w:t>
            </w:r>
            <w:proofErr w:type="gramEnd"/>
            <w:r w:rsidRPr="009237E4">
              <w:rPr>
                <w:rFonts w:asciiTheme="majorEastAsia" w:eastAsiaTheme="majorEastAsia" w:hAnsiTheme="majorEastAsia" w:cstheme="minorEastAsia" w:hint="eastAsia"/>
                <w:kern w:val="0"/>
                <w:szCs w:val="21"/>
              </w:rPr>
              <w:t>间所有基于IP的协议。配置固定公网IP地址，不受虚拟机关机影响。支持虚拟机按照实际使用时间收费，支持按照分钟收费</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VPN支持：支持Site-to-Site, Point-to-Point, Point-to-Site和VNET-to-VNET的VPN打通，提供对常用的VPN设备品牌如Cisco、Juniper、F5等的支持</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DNS支持：提供DNS服务，虚拟网络提供99.9%可用性，VPN网关提供99.9%可用性</w:t>
            </w:r>
          </w:p>
        </w:tc>
      </w:tr>
      <w:tr w:rsidR="009237E4" w:rsidRPr="009237E4" w:rsidTr="00B96848">
        <w:trPr>
          <w:cantSplit/>
          <w:trHeight w:val="20"/>
        </w:trPr>
        <w:tc>
          <w:tcPr>
            <w:tcW w:w="665" w:type="dxa"/>
            <w:vMerge w:val="restart"/>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roofErr w:type="spellStart"/>
            <w:r w:rsidRPr="009237E4">
              <w:rPr>
                <w:rFonts w:asciiTheme="majorEastAsia" w:eastAsiaTheme="majorEastAsia" w:hAnsiTheme="majorEastAsia" w:cstheme="minorEastAsia" w:hint="eastAsia"/>
                <w:kern w:val="0"/>
                <w:szCs w:val="21"/>
              </w:rPr>
              <w:t>IaaS</w:t>
            </w:r>
            <w:proofErr w:type="spellEnd"/>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存储</w:t>
            </w:r>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技术要求</w:t>
            </w: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虚拟网络支持：允许用户为单个应用服务的基础设施建立一个虚拟私有网络，同一个账号可以创建多个虚拟网络。支持与本地网络打通，架设混合云。单台虚拟机网络连接不少于100Mbps，配置越高</w:t>
            </w:r>
            <w:proofErr w:type="gramStart"/>
            <w:r w:rsidRPr="009237E4">
              <w:rPr>
                <w:rFonts w:asciiTheme="majorEastAsia" w:eastAsiaTheme="majorEastAsia" w:hAnsiTheme="majorEastAsia" w:cstheme="minorEastAsia" w:hint="eastAsia"/>
                <w:kern w:val="0"/>
                <w:szCs w:val="21"/>
              </w:rPr>
              <w:t>则网络</w:t>
            </w:r>
            <w:proofErr w:type="gramEnd"/>
            <w:r w:rsidRPr="009237E4">
              <w:rPr>
                <w:rFonts w:asciiTheme="majorEastAsia" w:eastAsiaTheme="majorEastAsia" w:hAnsiTheme="majorEastAsia" w:cstheme="minorEastAsia" w:hint="eastAsia"/>
                <w:kern w:val="0"/>
                <w:szCs w:val="21"/>
              </w:rPr>
              <w:t>带宽越高</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虚拟网络支持：允许用户为单个应用服务的基础设施建立一个虚拟私有网络，支持虚拟子网划分，同一个账号可以创建多个虚拟网络。支持与本地网络连接，架设混合云</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网络隔离功能：用网络隔离来防止部署之间不必要的通信，通过访问控制阻止未授权的用户访问系统。</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网络访问控制：按需制定全局安全策略，控制云端服务器访问Internet，</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提供CDN服务</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冗余备份支持：支持云平台多份数据冗余，且有异地备份机制，支持故障转移</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提供多种存储类型服务，类型包括非结构化的二进制和文本数据存储，消息队列传递存储，非关系结构化数据存储</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提供多种访问数据方式：支持通过</w:t>
            </w:r>
            <w:proofErr w:type="spellStart"/>
            <w:r w:rsidRPr="009237E4">
              <w:rPr>
                <w:rFonts w:asciiTheme="majorEastAsia" w:eastAsiaTheme="majorEastAsia" w:hAnsiTheme="majorEastAsia" w:cstheme="minorEastAsia" w:hint="eastAsia"/>
                <w:kern w:val="0"/>
                <w:szCs w:val="21"/>
              </w:rPr>
              <w:t>RESTful</w:t>
            </w:r>
            <w:proofErr w:type="spellEnd"/>
            <w:r w:rsidRPr="009237E4">
              <w:rPr>
                <w:rFonts w:asciiTheme="majorEastAsia" w:eastAsiaTheme="majorEastAsia" w:hAnsiTheme="majorEastAsia" w:cstheme="minorEastAsia" w:hint="eastAsia"/>
                <w:kern w:val="0"/>
                <w:szCs w:val="21"/>
              </w:rPr>
              <w:t>访问协议，存储客户端和驱动器的方式，有相应的SDK调用机制，存储可直接支持SMB/CIFS文件协议，实现多虚拟机实例共享挂载存储</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支持内置CDN节点分发</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6</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提供具有安全性的存储服务调用方式</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7</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提供可调颗粒度的监控，收集存储服务的入口/出口、可用性、延迟及成功百分比等数据的度量值</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8</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提供日志记录，可以查询读、写和删除存储数据的操作日志</w:t>
            </w:r>
          </w:p>
        </w:tc>
      </w:tr>
      <w:tr w:rsidR="009237E4" w:rsidRPr="009237E4" w:rsidTr="00B96848">
        <w:trPr>
          <w:cantSplit/>
          <w:trHeight w:val="20"/>
        </w:trPr>
        <w:tc>
          <w:tcPr>
            <w:tcW w:w="665" w:type="dxa"/>
            <w:vMerge w:val="restart"/>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roofErr w:type="spellStart"/>
            <w:r w:rsidRPr="009237E4">
              <w:rPr>
                <w:rFonts w:asciiTheme="majorEastAsia" w:eastAsiaTheme="majorEastAsia" w:hAnsiTheme="majorEastAsia" w:cstheme="minorEastAsia" w:hint="eastAsia"/>
                <w:kern w:val="0"/>
                <w:szCs w:val="21"/>
              </w:rPr>
              <w:t>PaaS</w:t>
            </w:r>
            <w:proofErr w:type="spellEnd"/>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技术要求</w:t>
            </w: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提供安全访问存储服务的密钥机制</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proofErr w:type="spellStart"/>
            <w:r w:rsidRPr="009237E4">
              <w:rPr>
                <w:rFonts w:asciiTheme="majorEastAsia" w:eastAsiaTheme="majorEastAsia" w:hAnsiTheme="majorEastAsia" w:cstheme="minorEastAsia" w:hint="eastAsia"/>
                <w:kern w:val="0"/>
                <w:szCs w:val="21"/>
              </w:rPr>
              <w:t>PaaS</w:t>
            </w:r>
            <w:proofErr w:type="spellEnd"/>
            <w:r w:rsidRPr="009237E4">
              <w:rPr>
                <w:rFonts w:asciiTheme="majorEastAsia" w:eastAsiaTheme="majorEastAsia" w:hAnsiTheme="majorEastAsia" w:cstheme="minorEastAsia" w:hint="eastAsia"/>
                <w:kern w:val="0"/>
                <w:szCs w:val="21"/>
              </w:rPr>
              <w:t>平台应支持语言：.NET, Java, PHP, Python, Node.js，有相应的开发SDK</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 xml:space="preserve">网站服务：提供网站应用一键式开发部署功能，选择拓展选项，上传代码和数据库即可完成服务搭建；支持多种部署方式，可使用现有常用开发工具，或者直接从支持 </w:t>
            </w:r>
            <w:proofErr w:type="spellStart"/>
            <w:r w:rsidRPr="009237E4">
              <w:rPr>
                <w:rFonts w:asciiTheme="majorEastAsia" w:eastAsiaTheme="majorEastAsia" w:hAnsiTheme="majorEastAsia" w:cstheme="minorEastAsia" w:hint="eastAsia"/>
                <w:kern w:val="0"/>
                <w:szCs w:val="21"/>
              </w:rPr>
              <w:t>Git</w:t>
            </w:r>
            <w:proofErr w:type="spellEnd"/>
            <w:r w:rsidRPr="009237E4">
              <w:rPr>
                <w:rFonts w:asciiTheme="majorEastAsia" w:eastAsiaTheme="majorEastAsia" w:hAnsiTheme="majorEastAsia" w:cstheme="minorEastAsia" w:hint="eastAsia"/>
                <w:kern w:val="0"/>
                <w:szCs w:val="21"/>
              </w:rPr>
              <w:t>、</w:t>
            </w:r>
            <w:proofErr w:type="spellStart"/>
            <w:r w:rsidRPr="009237E4">
              <w:rPr>
                <w:rFonts w:asciiTheme="majorEastAsia" w:eastAsiaTheme="majorEastAsia" w:hAnsiTheme="majorEastAsia" w:cstheme="minorEastAsia" w:hint="eastAsia"/>
                <w:kern w:val="0"/>
                <w:szCs w:val="21"/>
              </w:rPr>
              <w:t>GitHub</w:t>
            </w:r>
            <w:proofErr w:type="spellEnd"/>
            <w:r w:rsidRPr="009237E4">
              <w:rPr>
                <w:rFonts w:asciiTheme="majorEastAsia" w:eastAsiaTheme="majorEastAsia" w:hAnsiTheme="majorEastAsia" w:cstheme="minorEastAsia" w:hint="eastAsia"/>
                <w:kern w:val="0"/>
                <w:szCs w:val="21"/>
              </w:rPr>
              <w:t>、TFS 等源代码管理部署现有网站；提供内置的自动缩放功能；支持.NET, Java, PHP, Python主流开发语言和框架；提供内置的监控和警报机制</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数据库服务：提供内置的成熟的数据库服务，不需要用户单独运</w:t>
            </w:r>
            <w:proofErr w:type="gramStart"/>
            <w:r w:rsidRPr="009237E4">
              <w:rPr>
                <w:rFonts w:asciiTheme="majorEastAsia" w:eastAsiaTheme="majorEastAsia" w:hAnsiTheme="majorEastAsia" w:cstheme="minorEastAsia" w:hint="eastAsia"/>
                <w:kern w:val="0"/>
                <w:szCs w:val="21"/>
              </w:rPr>
              <w:t>维管理</w:t>
            </w:r>
            <w:proofErr w:type="gramEnd"/>
            <w:r w:rsidRPr="009237E4">
              <w:rPr>
                <w:rFonts w:asciiTheme="majorEastAsia" w:eastAsiaTheme="majorEastAsia" w:hAnsiTheme="majorEastAsia" w:cstheme="minorEastAsia" w:hint="eastAsia"/>
                <w:kern w:val="0"/>
                <w:szCs w:val="21"/>
              </w:rPr>
              <w:t>操作系统层；支持多种规模的数据库大小，提供灵活内置的可管理性，内置高可用并且支持大规模横向拓展</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服务总线：提供应用程序之间的消息传递基础设施</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6</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支持</w:t>
            </w:r>
            <w:proofErr w:type="spellStart"/>
            <w:r w:rsidRPr="009237E4">
              <w:rPr>
                <w:rFonts w:asciiTheme="majorEastAsia" w:eastAsiaTheme="majorEastAsia" w:hAnsiTheme="majorEastAsia" w:cstheme="minorEastAsia" w:hint="eastAsia"/>
                <w:kern w:val="0"/>
                <w:szCs w:val="21"/>
              </w:rPr>
              <w:t>PaaS</w:t>
            </w:r>
            <w:proofErr w:type="spellEnd"/>
            <w:r w:rsidRPr="009237E4">
              <w:rPr>
                <w:rFonts w:asciiTheme="majorEastAsia" w:eastAsiaTheme="majorEastAsia" w:hAnsiTheme="majorEastAsia" w:cstheme="minorEastAsia" w:hint="eastAsia"/>
                <w:kern w:val="0"/>
                <w:szCs w:val="21"/>
              </w:rPr>
              <w:t>和</w:t>
            </w:r>
            <w:proofErr w:type="spellStart"/>
            <w:r w:rsidRPr="009237E4">
              <w:rPr>
                <w:rFonts w:asciiTheme="majorEastAsia" w:eastAsiaTheme="majorEastAsia" w:hAnsiTheme="majorEastAsia" w:cstheme="minorEastAsia" w:hint="eastAsia"/>
                <w:kern w:val="0"/>
                <w:szCs w:val="21"/>
              </w:rPr>
              <w:t>IaaS</w:t>
            </w:r>
            <w:proofErr w:type="spellEnd"/>
            <w:r w:rsidRPr="009237E4">
              <w:rPr>
                <w:rFonts w:asciiTheme="majorEastAsia" w:eastAsiaTheme="majorEastAsia" w:hAnsiTheme="majorEastAsia" w:cstheme="minorEastAsia" w:hint="eastAsia"/>
                <w:kern w:val="0"/>
                <w:szCs w:val="21"/>
              </w:rPr>
              <w:t>的混合模式</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7</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活动目录：提供云应用程序的标识管理和访问控制功能的服务，提供本地的身份认证体系集成</w:t>
            </w:r>
          </w:p>
        </w:tc>
      </w:tr>
      <w:tr w:rsidR="009237E4" w:rsidRPr="009237E4" w:rsidTr="00B96848">
        <w:trPr>
          <w:cantSplit/>
          <w:trHeight w:val="20"/>
        </w:trPr>
        <w:tc>
          <w:tcPr>
            <w:tcW w:w="665" w:type="dxa"/>
            <w:vMerge/>
            <w:shd w:val="clear" w:color="auto" w:fill="auto"/>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shd w:val="clear" w:color="auto" w:fill="FFFFFF"/>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8</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proofErr w:type="gramStart"/>
            <w:r w:rsidRPr="009237E4">
              <w:rPr>
                <w:rFonts w:asciiTheme="majorEastAsia" w:eastAsiaTheme="majorEastAsia" w:hAnsiTheme="majorEastAsia" w:cstheme="minorEastAsia" w:hint="eastAsia"/>
                <w:kern w:val="0"/>
                <w:szCs w:val="21"/>
              </w:rPr>
              <w:t>云服务</w:t>
            </w:r>
            <w:proofErr w:type="gramEnd"/>
            <w:r w:rsidRPr="009237E4">
              <w:rPr>
                <w:rFonts w:asciiTheme="majorEastAsia" w:eastAsiaTheme="majorEastAsia" w:hAnsiTheme="majorEastAsia" w:cstheme="minorEastAsia" w:hint="eastAsia"/>
                <w:kern w:val="0"/>
                <w:szCs w:val="21"/>
              </w:rPr>
              <w:t>框架：提供一种不需要单独维护操作系统和中间</w:t>
            </w:r>
            <w:proofErr w:type="gramStart"/>
            <w:r w:rsidRPr="009237E4">
              <w:rPr>
                <w:rFonts w:asciiTheme="majorEastAsia" w:eastAsiaTheme="majorEastAsia" w:hAnsiTheme="majorEastAsia" w:cstheme="minorEastAsia" w:hint="eastAsia"/>
                <w:kern w:val="0"/>
                <w:szCs w:val="21"/>
              </w:rPr>
              <w:t>件层的云服务</w:t>
            </w:r>
            <w:proofErr w:type="gramEnd"/>
            <w:r w:rsidRPr="009237E4">
              <w:rPr>
                <w:rFonts w:asciiTheme="majorEastAsia" w:eastAsiaTheme="majorEastAsia" w:hAnsiTheme="majorEastAsia" w:cstheme="minorEastAsia" w:hint="eastAsia"/>
                <w:kern w:val="0"/>
                <w:szCs w:val="21"/>
              </w:rPr>
              <w:t>框架，通过上传配置应用信息和服务框架配置文件，即可使用应用的持续可用性和弹性伸缩</w:t>
            </w:r>
          </w:p>
        </w:tc>
      </w:tr>
      <w:tr w:rsidR="009237E4" w:rsidRPr="009237E4" w:rsidTr="00B96848">
        <w:trPr>
          <w:cantSplit/>
          <w:trHeight w:val="20"/>
        </w:trPr>
        <w:tc>
          <w:tcPr>
            <w:tcW w:w="665" w:type="dxa"/>
            <w:vMerge w:val="restart"/>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云平台管理</w:t>
            </w:r>
          </w:p>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技术要求</w:t>
            </w: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6946" w:type="dxa"/>
            <w:shd w:val="clear" w:color="auto" w:fill="FFFFFF"/>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媒体服务： 实现视频自动转解码，并根据访问请求实现弹性伸缩</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提供API、SDK等接口，可以与第三方管理软件结合或二次开发</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提供自动化作业，支持周期性的计划程序执行</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提供操作日志记录，支持对单个账号内的所有历史操作记录查询</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提供灵活科学的账号管理分配机制，允许多个管理员共享一个资源账号，允许同一个企业账号下拥有多个子资源账号</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6</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管理员可查看单个账号和企业总账号的历史资源消耗清单和余额信息，提供邮件提醒</w:t>
            </w:r>
          </w:p>
        </w:tc>
      </w:tr>
      <w:tr w:rsidR="009237E4" w:rsidRPr="009237E4" w:rsidTr="00B96848">
        <w:trPr>
          <w:cantSplit/>
          <w:trHeight w:val="20"/>
        </w:trPr>
        <w:tc>
          <w:tcPr>
            <w:tcW w:w="665" w:type="dxa"/>
            <w:vMerge w:val="restart"/>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云平台安全</w:t>
            </w: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支持双中心提供高可用性和异地容灾</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24 小时监视物理安全性： 采取物理措施构造、管理和监视数据中心，防止未经授权访问数据和服务以及防范一些环境风险。要求具备入侵检测和防护系统、拒绝服务攻击防护、定期渗透测试和法医式工具帮助识别云平台内部和外部的潜在威胁并加以预防，具备预测全球性安全风险能力</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 xml:space="preserve">入侵检测和 </w:t>
            </w:r>
            <w:proofErr w:type="spellStart"/>
            <w:r w:rsidRPr="009237E4">
              <w:rPr>
                <w:rFonts w:asciiTheme="majorEastAsia" w:eastAsiaTheme="majorEastAsia" w:hAnsiTheme="majorEastAsia" w:cstheme="minorEastAsia" w:hint="eastAsia"/>
                <w:kern w:val="0"/>
                <w:szCs w:val="21"/>
              </w:rPr>
              <w:t>DDoS</w:t>
            </w:r>
            <w:proofErr w:type="spellEnd"/>
            <w:r w:rsidRPr="009237E4">
              <w:rPr>
                <w:rFonts w:asciiTheme="majorEastAsia" w:eastAsiaTheme="majorEastAsia" w:hAnsiTheme="majorEastAsia" w:cstheme="minorEastAsia" w:hint="eastAsia"/>
                <w:kern w:val="0"/>
                <w:szCs w:val="21"/>
              </w:rPr>
              <w:t>： 入侵检测和防护系统、拒绝服务攻击防护、定期渗透测试和法医式工具帮助识别云平台内部和外部的潜在威胁并加以预防</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运营和支持人员仅在获得授权的情况下才能访问数据。授予权限时，应管理和记录其访问情况。数据中心对存储数据的系统访问通过锁箱流程进行严格控制。未经许可不得复制、移动、转移、引用等</w:t>
            </w:r>
          </w:p>
        </w:tc>
      </w:tr>
      <w:tr w:rsidR="009237E4"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要求通信加密： 提供内置的 SSL 和 TLS 加密方法使用户可以加密部署内、部署之间、从</w:t>
            </w:r>
            <w:proofErr w:type="gramStart"/>
            <w:r w:rsidRPr="009237E4">
              <w:rPr>
                <w:rFonts w:asciiTheme="majorEastAsia" w:eastAsiaTheme="majorEastAsia" w:hAnsiTheme="majorEastAsia" w:cstheme="minorEastAsia" w:hint="eastAsia"/>
                <w:kern w:val="0"/>
                <w:szCs w:val="21"/>
              </w:rPr>
              <w:t>公有云</w:t>
            </w:r>
            <w:proofErr w:type="gramEnd"/>
            <w:r w:rsidRPr="009237E4">
              <w:rPr>
                <w:rFonts w:asciiTheme="majorEastAsia" w:eastAsiaTheme="majorEastAsia" w:hAnsiTheme="majorEastAsia" w:cstheme="minorEastAsia" w:hint="eastAsia"/>
                <w:kern w:val="0"/>
                <w:szCs w:val="21"/>
              </w:rPr>
              <w:t>到本地数据中心以及从</w:t>
            </w:r>
            <w:proofErr w:type="gramStart"/>
            <w:r w:rsidRPr="009237E4">
              <w:rPr>
                <w:rFonts w:asciiTheme="majorEastAsia" w:eastAsiaTheme="majorEastAsia" w:hAnsiTheme="majorEastAsia" w:cstheme="minorEastAsia" w:hint="eastAsia"/>
                <w:kern w:val="0"/>
                <w:szCs w:val="21"/>
              </w:rPr>
              <w:t>公有云</w:t>
            </w:r>
            <w:proofErr w:type="gramEnd"/>
            <w:r w:rsidRPr="009237E4">
              <w:rPr>
                <w:rFonts w:asciiTheme="majorEastAsia" w:eastAsiaTheme="majorEastAsia" w:hAnsiTheme="majorEastAsia" w:cstheme="minorEastAsia" w:hint="eastAsia"/>
                <w:kern w:val="0"/>
                <w:szCs w:val="21"/>
              </w:rPr>
              <w:t>到管理员和用户的通信</w:t>
            </w:r>
          </w:p>
        </w:tc>
      </w:tr>
      <w:tr w:rsidR="00656D75" w:rsidRPr="009237E4" w:rsidTr="00B96848">
        <w:trPr>
          <w:cantSplit/>
          <w:trHeight w:val="20"/>
        </w:trPr>
        <w:tc>
          <w:tcPr>
            <w:tcW w:w="665" w:type="dxa"/>
            <w:vMerge/>
          </w:tcPr>
          <w:p w:rsidR="00656D75" w:rsidRPr="009237E4" w:rsidRDefault="00656D75" w:rsidP="00B96848">
            <w:pPr>
              <w:spacing w:line="360" w:lineRule="auto"/>
              <w:rPr>
                <w:rFonts w:asciiTheme="majorEastAsia" w:eastAsiaTheme="majorEastAsia" w:hAnsiTheme="majorEastAsia" w:cstheme="minorEastAsia"/>
                <w:kern w:val="0"/>
                <w:szCs w:val="21"/>
              </w:rPr>
            </w:pPr>
          </w:p>
        </w:tc>
        <w:tc>
          <w:tcPr>
            <w:tcW w:w="719" w:type="dxa"/>
          </w:tcPr>
          <w:p w:rsidR="00656D75" w:rsidRPr="009237E4" w:rsidRDefault="00656D75" w:rsidP="00B96848">
            <w:pPr>
              <w:spacing w:line="360" w:lineRule="auto"/>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6</w:t>
            </w:r>
          </w:p>
        </w:tc>
        <w:tc>
          <w:tcPr>
            <w:tcW w:w="6946" w:type="dxa"/>
          </w:tcPr>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数据加密： 应提供包括 AES-256 在内的各种加密功能；</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规范性：基于ISO/IEC 27001:2005 审核和认证，通过可信</w:t>
            </w:r>
            <w:proofErr w:type="gramStart"/>
            <w:r w:rsidRPr="009237E4">
              <w:rPr>
                <w:rFonts w:asciiTheme="majorEastAsia" w:eastAsiaTheme="majorEastAsia" w:hAnsiTheme="majorEastAsia" w:cstheme="minorEastAsia" w:hint="eastAsia"/>
                <w:kern w:val="0"/>
                <w:szCs w:val="21"/>
              </w:rPr>
              <w:t>云服务</w:t>
            </w:r>
            <w:proofErr w:type="gramEnd"/>
            <w:r w:rsidRPr="009237E4">
              <w:rPr>
                <w:rFonts w:asciiTheme="majorEastAsia" w:eastAsiaTheme="majorEastAsia" w:hAnsiTheme="majorEastAsia" w:cstheme="minorEastAsia" w:hint="eastAsia"/>
                <w:kern w:val="0"/>
                <w:szCs w:val="21"/>
              </w:rPr>
              <w:t>认证，SSAE 16/ISAE3402,CSA CCM，PCI DSS，工信</w:t>
            </w:r>
            <w:proofErr w:type="gramStart"/>
            <w:r w:rsidRPr="009237E4">
              <w:rPr>
                <w:rFonts w:asciiTheme="majorEastAsia" w:eastAsiaTheme="majorEastAsia" w:hAnsiTheme="majorEastAsia" w:cstheme="minorEastAsia" w:hint="eastAsia"/>
                <w:kern w:val="0"/>
                <w:szCs w:val="21"/>
              </w:rPr>
              <w:t>部云安全</w:t>
            </w:r>
            <w:proofErr w:type="gramEnd"/>
            <w:r w:rsidRPr="009237E4">
              <w:rPr>
                <w:rFonts w:asciiTheme="majorEastAsia" w:eastAsiaTheme="majorEastAsia" w:hAnsiTheme="majorEastAsia" w:cstheme="minorEastAsia" w:hint="eastAsia"/>
                <w:kern w:val="0"/>
                <w:szCs w:val="21"/>
              </w:rPr>
              <w:t>认证，完全符合国际和国内安全标准；</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付费模式：支持按年付费，默认提供云平台全部现有功能服务，按照各项功能使用量计费</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每年为客户免费提供云平台使用培训，并且培训课程不少于八次</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提供上门售后服务</w:t>
            </w:r>
          </w:p>
          <w:p w:rsidR="00656D75" w:rsidRPr="009237E4" w:rsidRDefault="00656D75" w:rsidP="00B96848">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24x7x365售后服务专线提供免费技术支持服务，提供丰富的在线文档和社区资源</w:t>
            </w:r>
          </w:p>
        </w:tc>
      </w:tr>
    </w:tbl>
    <w:p w:rsidR="00FD3F3C" w:rsidRPr="009237E4" w:rsidRDefault="00FD3F3C" w:rsidP="00FD3F3C">
      <w:pPr>
        <w:ind w:firstLineChars="890" w:firstLine="1876"/>
        <w:rPr>
          <w:rFonts w:asciiTheme="minorEastAsia" w:hAnsiTheme="minorEastAsia"/>
          <w:b/>
          <w:szCs w:val="21"/>
        </w:rPr>
      </w:pPr>
    </w:p>
    <w:p w:rsidR="00FD3F3C" w:rsidRPr="009237E4" w:rsidRDefault="00FD3F3C" w:rsidP="00FD3F3C">
      <w:pPr>
        <w:ind w:firstLineChars="890" w:firstLine="1876"/>
        <w:rPr>
          <w:rFonts w:asciiTheme="minorEastAsia" w:hAnsiTheme="minorEastAsia"/>
          <w:b/>
          <w:szCs w:val="21"/>
        </w:rPr>
      </w:pPr>
    </w:p>
    <w:p w:rsidR="00FD3F3C" w:rsidRPr="009237E4" w:rsidRDefault="00FD3F3C" w:rsidP="00FD3F3C">
      <w:pPr>
        <w:ind w:firstLineChars="890" w:firstLine="1876"/>
        <w:rPr>
          <w:rFonts w:asciiTheme="minorEastAsia" w:hAnsiTheme="minorEastAsia"/>
          <w:b/>
          <w:szCs w:val="21"/>
        </w:rPr>
      </w:pPr>
    </w:p>
    <w:p w:rsidR="00FD3F3C" w:rsidRPr="009237E4" w:rsidRDefault="00FD3F3C" w:rsidP="00FD3F3C">
      <w:r w:rsidRPr="009237E4">
        <w:br w:type="page"/>
      </w:r>
    </w:p>
    <w:tbl>
      <w:tblPr>
        <w:tblpPr w:leftFromText="180" w:rightFromText="180" w:vertAnchor="page" w:horzAnchor="margin" w:tblpXSpec="center" w:tblpY="1426"/>
        <w:tblOverlap w:val="never"/>
        <w:tblW w:w="7140" w:type="dxa"/>
        <w:tblLayout w:type="fixed"/>
        <w:tblCellMar>
          <w:top w:w="15" w:type="dxa"/>
          <w:left w:w="15" w:type="dxa"/>
          <w:bottom w:w="15" w:type="dxa"/>
          <w:right w:w="15" w:type="dxa"/>
        </w:tblCellMar>
        <w:tblLook w:val="04A0" w:firstRow="1" w:lastRow="0" w:firstColumn="1" w:lastColumn="0" w:noHBand="0" w:noVBand="1"/>
      </w:tblPr>
      <w:tblGrid>
        <w:gridCol w:w="7140"/>
      </w:tblGrid>
      <w:tr w:rsidR="009237E4" w:rsidRPr="009237E4" w:rsidTr="00F55536">
        <w:trPr>
          <w:trHeight w:val="600"/>
        </w:trPr>
        <w:tc>
          <w:tcPr>
            <w:tcW w:w="7140" w:type="dxa"/>
            <w:shd w:val="clear" w:color="auto" w:fill="auto"/>
          </w:tcPr>
          <w:p w:rsidR="00FD3F3C" w:rsidRPr="009237E4" w:rsidRDefault="00FD3F3C" w:rsidP="00F55536">
            <w:pPr>
              <w:widowControl/>
              <w:jc w:val="center"/>
              <w:textAlignment w:val="center"/>
              <w:rPr>
                <w:rFonts w:asciiTheme="minorEastAsia" w:hAnsiTheme="minorEastAsia" w:cs="等线"/>
                <w:b/>
                <w:sz w:val="44"/>
                <w:szCs w:val="44"/>
              </w:rPr>
            </w:pPr>
            <w:r w:rsidRPr="00DA0C19">
              <w:rPr>
                <w:rFonts w:asciiTheme="minorEastAsia" w:hAnsiTheme="minorEastAsia" w:cs="华文宋体" w:hint="eastAsia"/>
                <w:b/>
                <w:w w:val="97"/>
                <w:kern w:val="0"/>
                <w:sz w:val="44"/>
                <w:szCs w:val="44"/>
                <w:fitText w:val="1767" w:id="1522341383"/>
              </w:rPr>
              <w:lastRenderedPageBreak/>
              <w:t>采购列</w:t>
            </w:r>
            <w:r w:rsidRPr="00DA0C19">
              <w:rPr>
                <w:rFonts w:asciiTheme="minorEastAsia" w:hAnsiTheme="minorEastAsia" w:cs="华文宋体" w:hint="eastAsia"/>
                <w:b/>
                <w:spacing w:val="-52"/>
                <w:w w:val="97"/>
                <w:kern w:val="0"/>
                <w:sz w:val="44"/>
                <w:szCs w:val="44"/>
                <w:fitText w:val="1767" w:id="1522341383"/>
              </w:rPr>
              <w:t>表</w:t>
            </w:r>
          </w:p>
        </w:tc>
      </w:tr>
    </w:tbl>
    <w:p w:rsidR="00FD3F3C" w:rsidRPr="009237E4" w:rsidRDefault="00FD3F3C" w:rsidP="00FD3F3C">
      <w:pPr>
        <w:jc w:val="left"/>
        <w:rPr>
          <w:rFonts w:asciiTheme="minorEastAsia" w:hAnsiTheme="minorEastAsia"/>
          <w:szCs w:val="21"/>
        </w:rPr>
      </w:pPr>
    </w:p>
    <w:tbl>
      <w:tblPr>
        <w:tblpPr w:leftFromText="180" w:rightFromText="180" w:vertAnchor="page" w:horzAnchor="margin" w:tblpXSpec="center" w:tblpY="2596"/>
        <w:tblOverlap w:val="never"/>
        <w:tblW w:w="9513" w:type="dxa"/>
        <w:tblLayout w:type="fixed"/>
        <w:tblCellMar>
          <w:top w:w="15" w:type="dxa"/>
          <w:left w:w="15" w:type="dxa"/>
          <w:bottom w:w="15" w:type="dxa"/>
          <w:right w:w="15" w:type="dxa"/>
        </w:tblCellMar>
        <w:tblLook w:val="04A0" w:firstRow="1" w:lastRow="0" w:firstColumn="1" w:lastColumn="0" w:noHBand="0" w:noVBand="1"/>
      </w:tblPr>
      <w:tblGrid>
        <w:gridCol w:w="646"/>
        <w:gridCol w:w="2840"/>
        <w:gridCol w:w="1166"/>
        <w:gridCol w:w="4861"/>
      </w:tblGrid>
      <w:tr w:rsidR="009237E4" w:rsidRPr="009237E4" w:rsidTr="00656D75">
        <w:trPr>
          <w:trHeight w:val="1226"/>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FD3F3C" w:rsidRPr="009237E4" w:rsidRDefault="00FD3F3C" w:rsidP="00F55536">
            <w:pPr>
              <w:widowControl/>
              <w:jc w:val="center"/>
              <w:textAlignment w:val="center"/>
              <w:rPr>
                <w:rFonts w:asciiTheme="majorEastAsia" w:eastAsiaTheme="majorEastAsia" w:hAnsiTheme="majorEastAsia" w:cstheme="minorEastAsia"/>
                <w:kern w:val="0"/>
                <w:szCs w:val="21"/>
              </w:rPr>
            </w:pPr>
          </w:p>
          <w:p w:rsidR="00FD3F3C" w:rsidRPr="009237E4" w:rsidRDefault="00FD3F3C" w:rsidP="00F55536">
            <w:pPr>
              <w:widowControl/>
              <w:jc w:val="center"/>
              <w:textAlignment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序号</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widowControl/>
              <w:jc w:val="center"/>
              <w:textAlignment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服务描述</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656D75">
            <w:pPr>
              <w:widowControl/>
              <w:ind w:firstLineChars="189" w:firstLine="397"/>
              <w:jc w:val="left"/>
              <w:textAlignment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单位</w:t>
            </w:r>
          </w:p>
        </w:tc>
        <w:tc>
          <w:tcPr>
            <w:tcW w:w="4861" w:type="dxa"/>
            <w:tcBorders>
              <w:top w:val="single" w:sz="4" w:space="0" w:color="000000"/>
              <w:left w:val="single" w:sz="4" w:space="0" w:color="000000"/>
              <w:bottom w:val="single" w:sz="4" w:space="0" w:color="000000"/>
              <w:right w:val="single" w:sz="4" w:space="0" w:color="000000"/>
            </w:tcBorders>
            <w:shd w:val="clear" w:color="auto" w:fill="auto"/>
          </w:tcPr>
          <w:p w:rsidR="00FD3F3C" w:rsidRPr="009237E4" w:rsidRDefault="00FD3F3C" w:rsidP="00F55536">
            <w:pPr>
              <w:widowControl/>
              <w:jc w:val="center"/>
              <w:textAlignment w:val="center"/>
              <w:rPr>
                <w:rFonts w:asciiTheme="majorEastAsia" w:eastAsiaTheme="majorEastAsia" w:hAnsiTheme="majorEastAsia" w:cstheme="minorEastAsia"/>
                <w:kern w:val="0"/>
                <w:szCs w:val="21"/>
              </w:rPr>
            </w:pPr>
          </w:p>
          <w:p w:rsidR="00FD3F3C" w:rsidRPr="009237E4" w:rsidRDefault="00FD3F3C" w:rsidP="00F55536">
            <w:pPr>
              <w:widowControl/>
              <w:jc w:val="center"/>
              <w:textAlignment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具体配置</w:t>
            </w:r>
          </w:p>
        </w:tc>
      </w:tr>
      <w:tr w:rsidR="009237E4" w:rsidRPr="009237E4" w:rsidTr="00656D75">
        <w:trPr>
          <w:trHeight w:val="2171"/>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jc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虚拟机-通用计算-基本级别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656D75">
            <w:pPr>
              <w:ind w:firstLineChars="189" w:firstLine="397"/>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台</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2505E3">
            <w:pPr>
              <w:widowControl/>
              <w:ind w:rightChars="102" w:right="214"/>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4个内核，7GB RAM</w:t>
            </w:r>
            <w:r w:rsidRPr="009237E4">
              <w:rPr>
                <w:rFonts w:asciiTheme="majorEastAsia" w:eastAsiaTheme="majorEastAsia" w:hAnsiTheme="majorEastAsia" w:cstheme="minorEastAsia"/>
                <w:kern w:val="0"/>
                <w:szCs w:val="21"/>
              </w:rPr>
              <w:t>，</w:t>
            </w:r>
            <w:r w:rsidRPr="009237E4">
              <w:rPr>
                <w:rFonts w:asciiTheme="majorEastAsia" w:eastAsiaTheme="majorEastAsia" w:hAnsiTheme="majorEastAsia" w:cstheme="minorEastAsia" w:hint="eastAsia"/>
                <w:kern w:val="0"/>
                <w:szCs w:val="21"/>
              </w:rPr>
              <w:t xml:space="preserve"> 500GB附加磁盘（含正版WINDOWS2012服务器操作系统）40台</w:t>
            </w:r>
          </w:p>
        </w:tc>
      </w:tr>
      <w:tr w:rsidR="009237E4" w:rsidRPr="009237E4" w:rsidTr="00656D75">
        <w:trPr>
          <w:trHeight w:val="2171"/>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jc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2</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虚拟机-通用计算-标准级别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656D75">
            <w:pPr>
              <w:ind w:firstLineChars="189" w:firstLine="397"/>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台</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kern w:val="0"/>
                <w:szCs w:val="21"/>
              </w:rPr>
              <w:t>8个内核，14 GB RAM，</w:t>
            </w:r>
            <w:r w:rsidRPr="009237E4">
              <w:rPr>
                <w:rFonts w:asciiTheme="majorEastAsia" w:eastAsiaTheme="majorEastAsia" w:hAnsiTheme="majorEastAsia" w:cstheme="minorEastAsia" w:hint="eastAsia"/>
                <w:kern w:val="0"/>
                <w:szCs w:val="21"/>
              </w:rPr>
              <w:t>500GB附加磁盘（含正版Linux服务器操作系统）40台</w:t>
            </w:r>
          </w:p>
        </w:tc>
      </w:tr>
      <w:tr w:rsidR="009237E4" w:rsidRPr="009237E4" w:rsidTr="00656D75">
        <w:trPr>
          <w:trHeight w:val="1396"/>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D75" w:rsidRPr="009237E4" w:rsidRDefault="00656D75" w:rsidP="00656D75">
            <w:pPr>
              <w:jc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3</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D75" w:rsidRPr="009237E4" w:rsidRDefault="00656D75" w:rsidP="00656D75">
            <w:pPr>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虚拟机-通用计算-高级级别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D75" w:rsidRPr="009237E4" w:rsidRDefault="00656D75" w:rsidP="00656D75">
            <w:pPr>
              <w:ind w:firstLineChars="189" w:firstLine="397"/>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台</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6D75" w:rsidRPr="009237E4" w:rsidRDefault="00656D75" w:rsidP="00656D75">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16</w:t>
            </w:r>
            <w:r w:rsidRPr="009237E4">
              <w:rPr>
                <w:rFonts w:asciiTheme="majorEastAsia" w:eastAsiaTheme="majorEastAsia" w:hAnsiTheme="majorEastAsia" w:cstheme="minorEastAsia"/>
                <w:kern w:val="0"/>
                <w:szCs w:val="21"/>
              </w:rPr>
              <w:t>个内核，</w:t>
            </w:r>
            <w:r w:rsidRPr="009237E4">
              <w:rPr>
                <w:rFonts w:asciiTheme="majorEastAsia" w:eastAsiaTheme="majorEastAsia" w:hAnsiTheme="majorEastAsia" w:cstheme="minorEastAsia" w:hint="eastAsia"/>
                <w:kern w:val="0"/>
                <w:szCs w:val="21"/>
              </w:rPr>
              <w:t>32</w:t>
            </w:r>
            <w:r w:rsidRPr="009237E4">
              <w:rPr>
                <w:rFonts w:asciiTheme="majorEastAsia" w:eastAsiaTheme="majorEastAsia" w:hAnsiTheme="majorEastAsia" w:cstheme="minorEastAsia"/>
                <w:kern w:val="0"/>
                <w:szCs w:val="21"/>
              </w:rPr>
              <w:t xml:space="preserve"> GB RAM，</w:t>
            </w:r>
            <w:r w:rsidRPr="009237E4">
              <w:rPr>
                <w:rFonts w:asciiTheme="majorEastAsia" w:eastAsiaTheme="majorEastAsia" w:hAnsiTheme="majorEastAsia" w:cstheme="minorEastAsia" w:hint="eastAsia"/>
                <w:kern w:val="0"/>
                <w:szCs w:val="21"/>
              </w:rPr>
              <w:t>500GB附加磁盘（含正版Linux服务器操作系统）15台</w:t>
            </w:r>
          </w:p>
        </w:tc>
      </w:tr>
      <w:tr w:rsidR="009237E4" w:rsidRPr="009237E4" w:rsidTr="00656D75">
        <w:trPr>
          <w:trHeight w:val="1396"/>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656D75" w:rsidP="00F55536">
            <w:pPr>
              <w:jc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数据存储</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656D75">
            <w:pPr>
              <w:ind w:firstLineChars="189" w:firstLine="397"/>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T</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40T存储量</w:t>
            </w:r>
          </w:p>
        </w:tc>
      </w:tr>
      <w:tr w:rsidR="009237E4" w:rsidRPr="009237E4" w:rsidTr="00656D75">
        <w:trPr>
          <w:trHeight w:val="1396"/>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656D75" w:rsidP="00F55536">
            <w:pPr>
              <w:jc w:val="cente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5</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传输</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656D75">
            <w:pPr>
              <w:ind w:firstLineChars="189" w:firstLine="397"/>
              <w:jc w:val="left"/>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T</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传入每月可提供20T</w:t>
            </w:r>
          </w:p>
          <w:p w:rsidR="00FD3F3C" w:rsidRPr="009237E4" w:rsidRDefault="00FD3F3C" w:rsidP="00F55536">
            <w:pPr>
              <w:rPr>
                <w:rFonts w:asciiTheme="majorEastAsia" w:eastAsiaTheme="majorEastAsia" w:hAnsiTheme="majorEastAsia" w:cstheme="minorEastAsia"/>
                <w:kern w:val="0"/>
                <w:szCs w:val="21"/>
              </w:rPr>
            </w:pPr>
            <w:proofErr w:type="gramStart"/>
            <w:r w:rsidRPr="009237E4">
              <w:rPr>
                <w:rFonts w:asciiTheme="majorEastAsia" w:eastAsiaTheme="majorEastAsia" w:hAnsiTheme="majorEastAsia" w:cstheme="minorEastAsia" w:hint="eastAsia"/>
                <w:kern w:val="0"/>
                <w:szCs w:val="21"/>
              </w:rPr>
              <w:t>所有云服务</w:t>
            </w:r>
            <w:proofErr w:type="gramEnd"/>
            <w:r w:rsidRPr="009237E4">
              <w:rPr>
                <w:rFonts w:asciiTheme="majorEastAsia" w:eastAsiaTheme="majorEastAsia" w:hAnsiTheme="majorEastAsia" w:cstheme="minorEastAsia" w:hint="eastAsia"/>
                <w:kern w:val="0"/>
                <w:szCs w:val="21"/>
              </w:rPr>
              <w:t>需提供400GB带宽</w:t>
            </w:r>
          </w:p>
        </w:tc>
      </w:tr>
      <w:tr w:rsidR="009237E4" w:rsidRPr="009237E4" w:rsidTr="00656D75">
        <w:trPr>
          <w:trHeight w:val="591"/>
        </w:trPr>
        <w:tc>
          <w:tcPr>
            <w:tcW w:w="95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D3F3C" w:rsidRPr="009237E4" w:rsidRDefault="00FD3F3C" w:rsidP="00F55536">
            <w:pPr>
              <w:rPr>
                <w:rFonts w:asciiTheme="majorEastAsia" w:eastAsiaTheme="majorEastAsia" w:hAnsiTheme="majorEastAsia" w:cstheme="minorEastAsia"/>
                <w:kern w:val="0"/>
                <w:szCs w:val="21"/>
              </w:rPr>
            </w:pPr>
            <w:r w:rsidRPr="009237E4">
              <w:rPr>
                <w:rFonts w:asciiTheme="majorEastAsia" w:eastAsiaTheme="majorEastAsia" w:hAnsiTheme="majorEastAsia" w:cstheme="minorEastAsia" w:hint="eastAsia"/>
                <w:kern w:val="0"/>
                <w:szCs w:val="21"/>
              </w:rPr>
              <w:t>以上资源使用周期365天</w:t>
            </w:r>
          </w:p>
        </w:tc>
      </w:tr>
    </w:tbl>
    <w:p w:rsidR="00FD3F3C" w:rsidRPr="009237E4" w:rsidRDefault="00FD3F3C" w:rsidP="00FD3F3C">
      <w:pPr>
        <w:jc w:val="left"/>
        <w:rPr>
          <w:rFonts w:asciiTheme="minorEastAsia" w:hAnsiTheme="minorEastAsia"/>
          <w:szCs w:val="21"/>
        </w:rPr>
      </w:pPr>
    </w:p>
    <w:p w:rsidR="00FD3F3C" w:rsidRPr="009237E4" w:rsidRDefault="00FD3F3C" w:rsidP="00FD3F3C">
      <w:pPr>
        <w:rPr>
          <w:rFonts w:asciiTheme="minorEastAsia" w:hAnsiTheme="minorEastAsia"/>
          <w:szCs w:val="21"/>
        </w:rPr>
      </w:pPr>
    </w:p>
    <w:p w:rsidR="00FD3F3C" w:rsidRPr="009237E4" w:rsidRDefault="00FD3F3C" w:rsidP="00FD3F3C">
      <w:pPr>
        <w:widowControl/>
        <w:jc w:val="left"/>
        <w:rPr>
          <w:rFonts w:asciiTheme="minorEastAsia" w:hAnsiTheme="minorEastAsia"/>
          <w:szCs w:val="21"/>
        </w:rPr>
      </w:pPr>
    </w:p>
    <w:p w:rsidR="002505E3" w:rsidRPr="009237E4" w:rsidRDefault="002505E3" w:rsidP="00FD3F3C">
      <w:pPr>
        <w:widowControl/>
        <w:jc w:val="left"/>
        <w:rPr>
          <w:rFonts w:asciiTheme="minorEastAsia" w:hAnsiTheme="minorEastAsia"/>
          <w:szCs w:val="21"/>
        </w:rPr>
      </w:pPr>
    </w:p>
    <w:sectPr w:rsidR="002505E3" w:rsidRPr="009237E4" w:rsidSect="006A4D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C19" w:rsidRDefault="00DA0C19" w:rsidP="00FD3F3C">
      <w:r>
        <w:separator/>
      </w:r>
    </w:p>
  </w:endnote>
  <w:endnote w:type="continuationSeparator" w:id="0">
    <w:p w:rsidR="00DA0C19" w:rsidRDefault="00DA0C19" w:rsidP="00FD3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等线">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C19" w:rsidRDefault="00DA0C19" w:rsidP="00FD3F3C">
      <w:r>
        <w:separator/>
      </w:r>
    </w:p>
  </w:footnote>
  <w:footnote w:type="continuationSeparator" w:id="0">
    <w:p w:rsidR="00DA0C19" w:rsidRDefault="00DA0C19" w:rsidP="00FD3F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23E50F6"/>
    <w:lvl w:ilvl="0">
      <w:start w:val="2"/>
      <w:numFmt w:val="decimal"/>
      <w:lvlText w:val="%1."/>
      <w:lvlJc w:val="left"/>
      <w:pPr>
        <w:ind w:left="425" w:hanging="425"/>
      </w:pPr>
      <w:rPr>
        <w:rFonts w:hint="eastAsia"/>
      </w:rPr>
    </w:lvl>
    <w:lvl w:ilvl="1">
      <w:start w:val="1"/>
      <w:numFmt w:val="decimal"/>
      <w:lvlText w:val="%1.%2"/>
      <w:lvlJc w:val="left"/>
      <w:pPr>
        <w:ind w:left="851" w:hanging="567"/>
      </w:pPr>
      <w:rPr>
        <w:rFonts w:hint="eastAsia"/>
      </w:rPr>
    </w:lvl>
    <w:lvl w:ilvl="2">
      <w:start w:val="1"/>
      <w:numFmt w:val="decimal"/>
      <w:lvlText w:val="(%3)"/>
      <w:lvlJc w:val="left"/>
      <w:pPr>
        <w:ind w:left="851"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29630339"/>
    <w:multiLevelType w:val="multilevel"/>
    <w:tmpl w:val="723E50F6"/>
    <w:lvl w:ilvl="0">
      <w:start w:val="2"/>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0F44"/>
    <w:rsid w:val="00051C8E"/>
    <w:rsid w:val="000B3681"/>
    <w:rsid w:val="0014616B"/>
    <w:rsid w:val="00216A10"/>
    <w:rsid w:val="002505E3"/>
    <w:rsid w:val="002C4E65"/>
    <w:rsid w:val="002E6BF5"/>
    <w:rsid w:val="004D6952"/>
    <w:rsid w:val="005B520A"/>
    <w:rsid w:val="005D2BD7"/>
    <w:rsid w:val="00612220"/>
    <w:rsid w:val="00656D75"/>
    <w:rsid w:val="006A4D5F"/>
    <w:rsid w:val="009237E4"/>
    <w:rsid w:val="00A20344"/>
    <w:rsid w:val="00AB167D"/>
    <w:rsid w:val="00B16BA8"/>
    <w:rsid w:val="00D30F44"/>
    <w:rsid w:val="00D37846"/>
    <w:rsid w:val="00DA0C19"/>
    <w:rsid w:val="00DA241D"/>
    <w:rsid w:val="00FD3F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1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3F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3F3C"/>
    <w:rPr>
      <w:sz w:val="18"/>
      <w:szCs w:val="18"/>
    </w:rPr>
  </w:style>
  <w:style w:type="paragraph" w:styleId="a4">
    <w:name w:val="footer"/>
    <w:basedOn w:val="a"/>
    <w:link w:val="Char0"/>
    <w:uiPriority w:val="99"/>
    <w:unhideWhenUsed/>
    <w:rsid w:val="00FD3F3C"/>
    <w:pPr>
      <w:tabs>
        <w:tab w:val="center" w:pos="4153"/>
        <w:tab w:val="right" w:pos="8306"/>
      </w:tabs>
      <w:snapToGrid w:val="0"/>
      <w:jc w:val="left"/>
    </w:pPr>
    <w:rPr>
      <w:sz w:val="18"/>
      <w:szCs w:val="18"/>
    </w:rPr>
  </w:style>
  <w:style w:type="character" w:customStyle="1" w:styleId="Char0">
    <w:name w:val="页脚 Char"/>
    <w:basedOn w:val="a0"/>
    <w:link w:val="a4"/>
    <w:uiPriority w:val="99"/>
    <w:rsid w:val="00FD3F3C"/>
    <w:rPr>
      <w:sz w:val="18"/>
      <w:szCs w:val="18"/>
    </w:rPr>
  </w:style>
  <w:style w:type="paragraph" w:styleId="a5">
    <w:name w:val="List Paragraph"/>
    <w:basedOn w:val="a"/>
    <w:link w:val="Char1"/>
    <w:qFormat/>
    <w:rsid w:val="00FD3F3C"/>
    <w:pPr>
      <w:ind w:firstLineChars="200" w:firstLine="420"/>
    </w:pPr>
    <w:rPr>
      <w:rFonts w:ascii="Calibri" w:eastAsia="宋体" w:hAnsi="Calibri" w:cs="Times New Roman"/>
    </w:rPr>
  </w:style>
  <w:style w:type="character" w:customStyle="1" w:styleId="Char1">
    <w:name w:val="列出段落 Char"/>
    <w:link w:val="a5"/>
    <w:rsid w:val="00FD3F3C"/>
    <w:rPr>
      <w:rFonts w:ascii="Calibri" w:eastAsia="宋体" w:hAnsi="Calibri" w:cs="Times New Roman"/>
    </w:rPr>
  </w:style>
  <w:style w:type="character" w:styleId="a6">
    <w:name w:val="Hyperlink"/>
    <w:basedOn w:val="a0"/>
    <w:uiPriority w:val="99"/>
    <w:unhideWhenUsed/>
    <w:rsid w:val="002505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3F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3F3C"/>
    <w:rPr>
      <w:sz w:val="18"/>
      <w:szCs w:val="18"/>
    </w:rPr>
  </w:style>
  <w:style w:type="paragraph" w:styleId="a4">
    <w:name w:val="footer"/>
    <w:basedOn w:val="a"/>
    <w:link w:val="Char0"/>
    <w:uiPriority w:val="99"/>
    <w:unhideWhenUsed/>
    <w:rsid w:val="00FD3F3C"/>
    <w:pPr>
      <w:tabs>
        <w:tab w:val="center" w:pos="4153"/>
        <w:tab w:val="right" w:pos="8306"/>
      </w:tabs>
      <w:snapToGrid w:val="0"/>
      <w:jc w:val="left"/>
    </w:pPr>
    <w:rPr>
      <w:sz w:val="18"/>
      <w:szCs w:val="18"/>
    </w:rPr>
  </w:style>
  <w:style w:type="character" w:customStyle="1" w:styleId="Char0">
    <w:name w:val="页脚 Char"/>
    <w:basedOn w:val="a0"/>
    <w:link w:val="a4"/>
    <w:uiPriority w:val="99"/>
    <w:rsid w:val="00FD3F3C"/>
    <w:rPr>
      <w:sz w:val="18"/>
      <w:szCs w:val="18"/>
    </w:rPr>
  </w:style>
  <w:style w:type="paragraph" w:styleId="a5">
    <w:name w:val="List Paragraph"/>
    <w:basedOn w:val="a"/>
    <w:link w:val="Char1"/>
    <w:qFormat/>
    <w:rsid w:val="00FD3F3C"/>
    <w:pPr>
      <w:ind w:firstLineChars="200" w:firstLine="420"/>
    </w:pPr>
    <w:rPr>
      <w:rFonts w:ascii="Calibri" w:eastAsia="宋体" w:hAnsi="Calibri" w:cs="Times New Roman"/>
    </w:rPr>
  </w:style>
  <w:style w:type="character" w:customStyle="1" w:styleId="Char1">
    <w:name w:val="列出段落 Char"/>
    <w:link w:val="a5"/>
    <w:rsid w:val="00FD3F3C"/>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777</Words>
  <Characters>4435</Characters>
  <Application>Microsoft Office Word</Application>
  <DocSecurity>0</DocSecurity>
  <Lines>36</Lines>
  <Paragraphs>10</Paragraphs>
  <ScaleCrop>false</ScaleCrop>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liupeng</dc:creator>
  <cp:keywords/>
  <dc:description/>
  <cp:lastModifiedBy>liupeng</cp:lastModifiedBy>
  <cp:revision>11</cp:revision>
  <dcterms:created xsi:type="dcterms:W3CDTF">2017-10-23T12:15:00Z</dcterms:created>
  <dcterms:modified xsi:type="dcterms:W3CDTF">2018-06-07T00:10:00Z</dcterms:modified>
</cp:coreProperties>
</file>